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Factsheet: Continuous uniform distribution</w:t>
      </w:r>
    </w:p>
    <w:p>
      <w:pPr>
        <w:pStyle w:val="Author"/>
      </w:pPr>
      <w:r>
        <w:t xml:space="preserve">Michelle Arnetta and 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factsheet for the continuous uniform distribution.</w:t>
      </w:r>
    </w:p>
    <w:p>
      <w:pPr>
        <w:pStyle w:val="CaptionedFigure"/>
      </w:pPr>
      <w:r>
        <w:drawing>
          <wp:inline>
            <wp:extent cx="4754880" cy="5154367"/>
            <wp:effectExtent b="0" l="0" r="0" t="0"/>
            <wp:docPr descr="An example of the continuous uniform distribution with a = -10 and b = 20." title="" id="10" name="Picture"/>
            <a:graphic>
              <a:graphicData uri="http://schemas.openxmlformats.org/drawingml/2006/picture">
                <pic:pic>
                  <pic:nvPicPr>
                    <pic:cNvPr descr="./FiguresPNG/f-contunifdist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5154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 example of the continuous uniform distribution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Where to use:</w:t>
      </w:r>
      <w:r>
        <w:t xml:space="preserve"> </w:t>
      </w:r>
      <w:r>
        <w:t xml:space="preserve">The continuous uniform distribution is used when all continuous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equally likely. The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represents the outcome.</w:t>
      </w:r>
    </w:p>
    <w:p>
      <w:pPr>
        <w:pStyle w:val="BodyText"/>
      </w:pPr>
      <w:r>
        <w:rPr>
          <w:b/>
          <w:bCs/>
        </w:rPr>
        <w:t xml:space="preserve">Notation: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U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Parameters:</w:t>
      </w:r>
      <w:r>
        <w:t xml:space="preserve"> </w:t>
      </w:r>
      <w:r>
        <w:t xml:space="preserve">Two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 where</w:t>
      </w:r>
    </w:p>
    <w:p>
      <w:pPr>
        <w:numPr>
          <w:ilvl w:val="0"/>
          <w:numId w:val="1001"/>
        </w:numPr>
      </w:pPr>
      <m:oMath>
        <m:r>
          <m:t>a</m:t>
        </m:r>
      </m:oMath>
      <w:r>
        <w:t xml:space="preserve"> </w:t>
      </w:r>
      <w:r>
        <w:t xml:space="preserve">is the minimum value of an outcome,</w:t>
      </w:r>
    </w:p>
    <w:p>
      <w:pPr>
        <w:numPr>
          <w:ilvl w:val="0"/>
          <w:numId w:val="1001"/>
        </w:numPr>
      </w:pPr>
      <m:oMath>
        <m:r>
          <m:t>b</m:t>
        </m:r>
      </m:oMath>
      <w:r>
        <w:t xml:space="preserve"> </w:t>
      </w:r>
      <w:r>
        <w:t xml:space="preserve">is the maximum value of an outcome.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8"/>
        <w:gridCol w:w="3960"/>
        <w:gridCol w:w="27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Variance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12</m:t>
                  </m:r>
                </m:den>
              </m:f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a</m:t>
                            </m:r>
                          </m:den>
                        </m:f>
                      </m:e>
                      <m:e>
                        <m:r>
                          <m:rPr>
                            <m:nor/>
                            <m:scr m:val="sans-serif"/>
                            <m:sty m:val="p"/>
                          </m:rPr>
                          <m:t>if 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≤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≤</m:t>
                        </m:r>
                        <m:r>
                          <m:t>b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nor/>
                            <m:scr m:val="sans-serif"/>
                            <m:sty m:val="p"/>
                          </m:rPr>
                          <m:t>otherwise</m:t>
                        </m:r>
                      </m:e>
                    </m:mr>
                  </m:m>
                </m:e>
              </m:d>
            </m:oMath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CDF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nor/>
                            <m:scr m:val="sans-serif"/>
                            <m:sty m:val="p"/>
                          </m:rPr>
                          <m:t>if 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a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a</m:t>
                            </m:r>
                          </m:num>
                          <m:den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a</m:t>
                            </m:r>
                          </m:den>
                        </m:f>
                      </m:e>
                      <m:e>
                        <m:r>
                          <m:rPr>
                            <m:nor/>
                            <m:scr m:val="sans-serif"/>
                            <m:sty m:val="p"/>
                          </m:rPr>
                          <m:t>if 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≤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≤</m:t>
                        </m:r>
                        <m:r>
                          <m:t>b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nor/>
                            <m:scr m:val="sans-serif"/>
                            <m:sty m:val="p"/>
                          </m:rPr>
                          <m:t>if 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b</m:t>
                        </m:r>
                      </m:e>
                    </m:mr>
                  </m:m>
                </m:e>
              </m:d>
            </m:oMath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A machine from Cantor’s Confectionery is programmed to chop long candy bars into pieces, each with a length between 30 millimetres to 50 millimetres. Due to variations in the machine, each continuous value between this interval is equally likely. This can be expressed as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U</m:t>
        </m:r>
        <m:r>
          <m:rPr>
            <m:sty m:val="p"/>
          </m:rPr>
          <m:t>(</m:t>
        </m:r>
        <m:r>
          <m:t>30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)</m:t>
        </m:r>
      </m:oMath>
      <w:r>
        <w:t xml:space="preserve">. It means 30 is the minimum value and 50 is the maximum value, where all continuous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50</m:t>
        </m:r>
      </m:oMath>
      <w:r>
        <w:t xml:space="preserve"> </w:t>
      </w:r>
      <w:r>
        <w:t xml:space="preserve">are equally likely.</w:t>
      </w:r>
    </w:p>
    <w:bookmarkStart w:id="15" w:name="further-reading"/>
    <w:p>
      <w:pPr>
        <w:pStyle w:val="Heading1"/>
      </w:pPr>
      <w:r>
        <w:t xml:space="preserve">Further reading</w:t>
      </w:r>
    </w:p>
    <w:p>
      <w:pPr>
        <w:pStyle w:val="FirstParagraph"/>
      </w:pPr>
      <w:r>
        <w:t xml:space="preserve">This interactive element appears in</w:t>
      </w:r>
      <w:r>
        <w:t xml:space="preserve"> </w:t>
      </w:r>
      <w:hyperlink r:id="rId12">
        <w:r>
          <w:rPr>
            <w:rStyle w:val="Hyperlink"/>
          </w:rPr>
          <w:t xml:space="preserve">Overview: Probability distributions.</w:t>
        </w:r>
      </w:hyperlink>
    </w:p>
    <w:bookmarkStart w:id="14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initial version created 08/25 by tdhc.</w:t>
      </w:r>
    </w:p>
    <w:p>
      <w:pPr>
        <w:pStyle w:val="Compact"/>
        <w:numPr>
          <w:ilvl w:val="0"/>
          <w:numId w:val="1002"/>
        </w:numPr>
      </w:pPr>
      <w:r>
        <w:t xml:space="preserve">v1.1: deprecated shinylive apps replaced 09/26 by tdhc.</w:t>
      </w:r>
    </w:p>
    <w:p>
      <w:pPr>
        <w:pStyle w:val="FirstParagraph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2" Target="../overviews/o-distribution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overviews/o-distribution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Factsheet: Continuous uniform distribution</dc:title>
  <dc:creator>Michelle Arnetta and Tom Coleman</dc:creator>
  <cp:keywords/>
  <dcterms:created xsi:type="dcterms:W3CDTF">2026-09-04T09:53:31Z</dcterms:created>
  <dcterms:modified xsi:type="dcterms:W3CDTF">2026-09-04T09:53:31Z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factsheet for the continuous uniform distribution.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