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quotient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quotient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7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11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9</m:t>
                </m:r>
              </m:e>
            </m:d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11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5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5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cos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7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27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x</m:t>
                    </m:r>
                  </m:e>
                </m:rad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15</m:t>
            </m:r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+</m:t>
            </m:r>
            <m:r>
              <m:t>21</m:t>
            </m:r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54</m:t>
            </m:r>
            <m:r>
              <m:t>x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  <m:r>
              <m:t> </m:t>
            </m:r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e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5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4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5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3</m:t>
                </m:r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num>
              <m:den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x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t>x</m:t>
                </m:r>
              </m:num>
              <m:den>
                <m:r>
                  <m:rPr>
                    <m:sty m:val="p"/>
                  </m:rPr>
                  <m:t>sec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sec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−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3</m:t>
                    </m:r>
                    <m:r>
                      <m:t>x</m:t>
                    </m:r>
                  </m:e>
                </m:d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tan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quotientrule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quotient rule</dc:title>
  <dc:creator>Sara Delgado Garcia</dc:creator>
  <cp:keywords/>
  <dcterms:created xsi:type="dcterms:W3CDTF">2026-01-29T09:29:05Z</dcterms:created>
  <dcterms:modified xsi:type="dcterms:W3CDTF">2026-01-29T09:29:05Z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