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 [Proof sheet: Rules of differentiation.]</w:t>
      </w:r>
    </w:p>
    <w:bookmarkEnd w:id="32"/>
    <w:bookmarkStart w:id="4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39">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7"/>
    <w:bookmarkStart w:id="6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1">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5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4"/>
    <w:bookmarkEnd w:id="65"/>
    <w:bookmarkStart w:id="6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6"/>
    <w:bookmarkStart w:id="71" w:name="further-reading"/>
    <w:p>
      <w:pPr>
        <w:pStyle w:val="Heading1"/>
      </w:pPr>
      <w:r>
        <w:t xml:space="preserve">Further reading</w:t>
      </w:r>
    </w:p>
    <w:p>
      <w:pPr>
        <w:pStyle w:val="FirstParagraph"/>
      </w:pPr>
      <w:hyperlink r:id="rId6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0">
        <w:r>
          <w:rPr>
            <w:rStyle w:val="Hyperlink"/>
          </w:rPr>
          <w:t xml:space="preserve">Guide: The product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8">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2026-01-29T09:40:03Z</dcterms:created>
  <dcterms:modified xsi:type="dcterms:W3CDTF">2026-01-29T09:40:03Z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