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Factsheet: Poisson distribution</w:t>
      </w:r>
    </w:p>
    <w:p>
      <w:pPr>
        <w:pStyle w:val="Author"/>
      </w:pPr>
      <w:r>
        <w:t xml:space="preserve">Michelle Arnetta and Tom Coleman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 factsheet for the Poisson distribution.</w:t>
      </w:r>
    </w:p>
    <w:p>
      <w:pPr>
        <w:pStyle w:val="CaptionedFigure"/>
      </w:pPr>
      <w:r>
        <w:drawing>
          <wp:inline>
            <wp:extent cx="4754880" cy="4394366"/>
            <wp:effectExtent b="0" l="0" r="0" t="0"/>
            <wp:docPr descr="An example of the Poisson distribution with \lambda = 8." title="" id="10" name="Picture"/>
            <a:graphic>
              <a:graphicData uri="http://schemas.openxmlformats.org/drawingml/2006/picture">
                <pic:pic>
                  <pic:nvPicPr>
                    <pic:cNvPr descr="./FiguresPNG/f-poissondist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54880" cy="43943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An example of the Poisson distribution 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8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Where to use:</w:t>
      </w:r>
      <w:r>
        <w:t xml:space="preserve"> </w:t>
      </w:r>
      <w:r>
        <w:t xml:space="preserve">The Poisson distribution is used when a specific event occurs at some rate</w:t>
      </w:r>
      <w:r>
        <w:t xml:space="preserve"> </w:t>
      </w:r>
      <m:oMath>
        <m:r>
          <m:t>λ</m:t>
        </m:r>
      </m:oMath>
      <w:r>
        <w:t xml:space="preserve">, and you are counting</w:t>
      </w:r>
      <w:r>
        <w:t xml:space="preserve"> </w:t>
      </w:r>
      <m:oMath>
        <m:r>
          <m:t>X</m:t>
        </m:r>
      </m:oMath>
      <w:r>
        <w:t xml:space="preserve">, the number of times this event occurs in some interval.</w:t>
      </w:r>
    </w:p>
    <w:p>
      <w:pPr>
        <w:pStyle w:val="BodyText"/>
      </w:pPr>
      <w:r>
        <w:rPr>
          <w:b/>
          <w:bCs/>
        </w:rPr>
        <w:t xml:space="preserve">Notation: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Poisson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Parameter: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the integer number of times an event occurs within a specific period of time.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228"/>
        <w:gridCol w:w="3960"/>
        <w:gridCol w:w="273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Quantity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Mean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cr m:val="double-struck"/>
                  <m:sty m:val="p"/>
                </m:rPr>
                <m:t>E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λ</m:t>
              </m:r>
            </m:oMath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Variance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cr m:val="double-struck"/>
                  <m:sty m:val="p"/>
                </m:rPr>
                <m:t>V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λ</m:t>
              </m:r>
            </m:oMath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PMF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λ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den>
              </m:f>
            </m:oMath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CDF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⌊</m:t>
                  </m:r>
                  <m:r>
                    <m:t>x</m:t>
                  </m:r>
                  <m:r>
                    <m:rPr>
                      <m:sty m:val="p"/>
                    </m:rPr>
                    <m:t>⌋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num>
                    <m:den>
                      <m:r>
                        <m:t>x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⌊</m:t>
              </m:r>
              <m:r>
                <m:t>x</m:t>
              </m:r>
              <m:r>
                <m:rPr>
                  <m:sty m:val="p"/>
                </m:rPr>
                <m:t>⌋</m:t>
              </m:r>
            </m:oMath>
            <w:r>
              <w:t xml:space="preserve"> </w:t>
            </w:r>
            <w:r>
              <w:t xml:space="preserve">the floor function</w:t>
            </w:r>
          </w:p>
        </w:tc>
      </w:tr>
    </w:tbl>
    <w:p>
      <w:pPr>
        <w:pStyle w:val="BodyText"/>
      </w:pPr>
      <w:r>
        <w:rPr>
          <w:b/>
          <w:bCs/>
        </w:rPr>
        <w:t xml:space="preserve">Example:</w:t>
      </w:r>
      <w:r>
        <w:t xml:space="preserve"> </w:t>
      </w:r>
      <w:r>
        <w:t xml:space="preserve">Customers enter Cantor’s Confectionery at an average rate of 20 people per hour, and you want to see the likelihood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number of customers walks in. This can be expressed as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Pois</m:t>
        </m:r>
        <m:r>
          <m:rPr>
            <m:sty m:val="p"/>
          </m:rPr>
          <m:t>(</m:t>
        </m:r>
        <m:r>
          <m:t>20</m:t>
        </m:r>
        <m:r>
          <m:rPr>
            <m:sty m:val="p"/>
          </m:rPr>
          <m:t>)</m:t>
        </m:r>
      </m:oMath>
      <w:r>
        <w:t xml:space="preserve">.</w:t>
      </w:r>
    </w:p>
    <w:bookmarkStart w:id="15" w:name="further-reading"/>
    <w:p>
      <w:pPr>
        <w:pStyle w:val="Heading1"/>
      </w:pPr>
      <w:r>
        <w:t xml:space="preserve">Further reading</w:t>
      </w:r>
    </w:p>
    <w:p>
      <w:pPr>
        <w:pStyle w:val="FirstParagraph"/>
      </w:pPr>
      <w:hyperlink r:id="rId12">
        <w:r>
          <w:rPr>
            <w:rStyle w:val="Hyperlink"/>
          </w:rPr>
          <w:t xml:space="preserve">This interactive element appears in Overview: Probability distributions. Please click this link to go to the guide.</w:t>
        </w:r>
      </w:hyperlink>
    </w:p>
    <w:bookmarkStart w:id="14" w:name="version-history"/>
    <w:p>
      <w:pPr>
        <w:pStyle w:val="Heading2"/>
      </w:pPr>
      <w:r>
        <w:t xml:space="preserve">Version history</w:t>
      </w:r>
    </w:p>
    <w:p>
      <w:pPr>
        <w:pStyle w:val="FirstParagraph"/>
      </w:pPr>
      <w:r>
        <w:t xml:space="preserve">v1.0: initial version created 04/25 by tdhc and Michelle Arnetta as part of a University of St Andrews VIP project.</w:t>
      </w:r>
    </w:p>
    <w:p>
      <w:pPr>
        <w:numPr>
          <w:ilvl w:val="0"/>
          <w:numId w:val="1001"/>
        </w:numPr>
      </w:pPr>
      <w:r>
        <w:t xml:space="preserve">v1.1: moved to factsheet form and populated with material from</w:t>
      </w:r>
      <w:r>
        <w:t xml:space="preserve"> </w:t>
      </w:r>
      <w:hyperlink r:id="rId12">
        <w:r>
          <w:rPr>
            <w:rStyle w:val="Hyperlink"/>
          </w:rPr>
          <w:t xml:space="preserve">Overview: Probability distributions</w:t>
        </w:r>
      </w:hyperlink>
      <w:r>
        <w:t xml:space="preserve"> </w:t>
      </w:r>
      <w:r>
        <w:t xml:space="preserve">by tdhc.</w:t>
      </w:r>
    </w:p>
    <w:p>
      <w:pPr>
        <w:numPr>
          <w:ilvl w:val="0"/>
          <w:numId w:val="1001"/>
        </w:numPr>
      </w:pPr>
      <w:r>
        <w:t xml:space="preserve">v1.2: deprecated shinylive apps replaced 09/26 by tdhc.</w:t>
      </w:r>
    </w:p>
    <w:p>
      <w:pPr>
        <w:pStyle w:val="FirstParagraph"/>
      </w:pPr>
      <w:hyperlink r:id="rId13">
        <w:r>
          <w:rPr>
            <w:rStyle w:val="Hyperlink"/>
          </w:rPr>
          <w:t xml:space="preserve">This work is licensed under CC BY-NC-SA 4.0.</w:t>
        </w:r>
      </w:hyperlink>
    </w:p>
    <w:bookmarkEnd w:id="14"/>
    <w:bookmarkEnd w:id="15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12" Target="../overviews/o-distributions.qmd" TargetMode="External" /><Relationship Type="http://schemas.openxmlformats.org/officeDocument/2006/relationships/hyperlink" Id="rId13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../overviews/o-distributions.qmd" TargetMode="External" /><Relationship Type="http://schemas.openxmlformats.org/officeDocument/2006/relationships/hyperlink" Id="rId13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Factsheet: Poisson distribution</dc:title>
  <dc:creator>Michelle Arnetta and Tom Coleman</dc:creator>
  <cp:keywords/>
  <dcterms:created xsi:type="dcterms:W3CDTF">2026-09-10T11:42:50Z</dcterms:created>
  <dcterms:modified xsi:type="dcterms:W3CDTF">2026-09-10T11:42:50Z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 factsheet for the Poisson distribution.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categories">
    <vt:lpwstr/>
  </property>
  <property fmtid="{D5CDD505-2E9C-101B-9397-08002B2CF9AE}" pid="8" name="engines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