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Binomial identities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Proof of binomial identities.</w:t>
      </w:r>
    </w:p>
    <w:p>
      <w:pPr>
        <w:pStyle w:val="FirstParagraph"/>
      </w:pPr>
      <w:r>
        <w:t xml:space="preserve">Before reading this proofsheet, it is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Introduction to factorials, permutations, and combinations</w:t>
        </w:r>
      </w:hyperlink>
      <w:r>
        <w:t xml:space="preserve">.</w:t>
      </w:r>
    </w:p>
    <w:bookmarkStart w:id="13" w:name="proof"/>
    <w:p>
      <w:pPr>
        <w:pStyle w:val="Heading1"/>
      </w:pPr>
      <w:r>
        <w:t xml:space="preserve">Proof</w:t>
      </w:r>
    </w:p>
    <w:p>
      <w:pPr>
        <w:pStyle w:val="FirstParagraph"/>
      </w:pPr>
      <w:r>
        <w:t xml:space="preserve">Remember from</w:t>
      </w:r>
      <w:r>
        <w:t xml:space="preserve"> </w:t>
      </w:r>
      <w:hyperlink r:id="rId9">
        <w:r>
          <w:rPr>
            <w:rStyle w:val="Hyperlink"/>
          </w:rPr>
          <w:t xml:space="preserve">Guide: Introduction to factorials, permutations, and combinations</w:t>
        </w:r>
      </w:hyperlink>
      <w:r>
        <w:t xml:space="preserve"> </w:t>
      </w:r>
      <w:r>
        <w:t xml:space="preserve">that a</w:t>
      </w:r>
      <w:r>
        <w:t xml:space="preserve"> </w:t>
      </w:r>
      <w:r>
        <w:rPr>
          <w:b/>
          <w:bCs/>
        </w:rPr>
        <w:t xml:space="preserve">binomial coefficient</w:t>
      </w:r>
      <w:r>
        <w:t xml:space="preserve"> </w:t>
      </w:r>
      <w:r>
        <w:t xml:space="preserve">computes the number of ways of selecting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things from a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things,</w:t>
      </w:r>
      <w:r>
        <w:t xml:space="preserve"> </w:t>
      </w:r>
      <w:r>
        <w:rPr>
          <w:b/>
          <w:bCs/>
        </w:rPr>
        <w:t xml:space="preserve">where order doesn’t matter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combinations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combination formula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binomial coefficient formula</w:t>
            </w:r>
            <w:r>
              <w:t xml:space="preserve"> </w:t>
            </w:r>
            <w:r>
              <w:t xml:space="preserve">calculates the number of ways to do this, you can write this in two ways: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!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!</m:t>
                    </m:r>
                    <m:r>
                      <m:t>k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You would read this as</w:t>
            </w:r>
            <w:r>
              <w:t xml:space="preserve"> </w:t>
            </w:r>
            <w:r>
              <w:t xml:space="preserve">“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use this formula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must be integers, 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t xml:space="preserve">. If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n</m:t>
              </m:r>
            </m:oMath>
            <w:r>
              <w:t xml:space="preserve"> </w:t>
            </w:r>
            <w:r>
              <w:t xml:space="preserve">then there is no way to select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things from a collection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things, so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as there is only one way to pick nothing or everything from a collection of things.</w:t>
            </w:r>
          </w:p>
          <w:p/>
        </w:tc>
      </w:tr>
    </w:tbl>
    <w:bookmarkEnd w:id="13"/>
    <w:bookmarkStart w:id="18" w:name="symmetry-identity"/>
    <w:p>
      <w:pPr>
        <w:pStyle w:val="Heading1"/>
      </w:pPr>
      <w:r>
        <w:t xml:space="preserve">Symmetry identity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Symmetry identity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den>
                    </m:f>
                  </m:e>
                </m:d>
              </m:oMath>
            </m:oMathPara>
          </w:p>
          <w:p/>
        </w:tc>
      </w:tr>
    </w:tbl>
    <w:p>
      <w:pPr>
        <w:pStyle w:val="FirstParagraph"/>
      </w:pPr>
      <w:r>
        <w:t xml:space="preserve">You could prove this identity many ways. You’ll see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different ways to approach this in this sheet, both of which are interesting and valid ways of approaching the proof.</w:t>
      </w:r>
    </w:p>
    <w:bookmarkStart w:id="16" w:name="algebraic-method"/>
    <w:p>
      <w:pPr>
        <w:pStyle w:val="Heading2"/>
      </w:pPr>
      <w:r>
        <w:t xml:space="preserve">Algebraic method</w:t>
      </w:r>
    </w:p>
    <w:p>
      <w:pPr>
        <w:pStyle w:val="FirstParagraph"/>
      </w:pPr>
      <w:r>
        <w:t xml:space="preserve">First, an algebraic method: begin by using the above formula to rewrite the left hand side.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Then you can notice that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, hence: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as required!</w:t>
      </w:r>
    </w:p>
    <w:bookmarkEnd w:id="16"/>
    <w:bookmarkStart w:id="17" w:name="counting-method"/>
    <w:p>
      <w:pPr>
        <w:pStyle w:val="Heading2"/>
      </w:pPr>
      <w:r>
        <w:t xml:space="preserve">Counting method</w:t>
      </w:r>
    </w:p>
    <w:p>
      <w:pPr>
        <w:pStyle w:val="FirstParagraph"/>
      </w:pPr>
      <w:r>
        <w:t xml:space="preserve">Another way of approaching this is by a counting argument.</w:t>
      </w:r>
    </w:p>
    <w:p>
      <w:pPr>
        <w:pStyle w:val="BodyText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is the number of ways of selecting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things from a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things. This is equivalent to the number of ways of not selecting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things.</w:t>
      </w:r>
    </w:p>
    <w:p>
      <w:pPr>
        <w:pStyle w:val="BodyText"/>
      </w:pPr>
      <w:r>
        <w:t xml:space="preserve">Imagine having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boxes, a</w:t>
      </w:r>
      <w:r>
        <w:t xml:space="preserve"> </w:t>
      </w:r>
      <w:r>
        <w:t xml:space="preserve">‘pick’</w:t>
      </w:r>
      <w:r>
        <w:t xml:space="preserve"> </w:t>
      </w:r>
      <w:r>
        <w:t xml:space="preserve">box and a</w:t>
      </w:r>
      <w:r>
        <w:t xml:space="preserve"> </w:t>
      </w:r>
      <w:r>
        <w:t xml:space="preserve">‘don’t pick’</w:t>
      </w:r>
      <w:r>
        <w:t xml:space="preserve"> </w:t>
      </w:r>
      <w:r>
        <w:t xml:space="preserve">box. For every way you can put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things in the</w:t>
      </w:r>
      <w:r>
        <w:t xml:space="preserve"> </w:t>
      </w:r>
      <w:r>
        <w:t xml:space="preserve">‘pick’</w:t>
      </w:r>
      <w:r>
        <w:t xml:space="preserve"> </w:t>
      </w:r>
      <w:r>
        <w:t xml:space="preserve">box, there’s a way to put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things in the</w:t>
      </w:r>
      <w:r>
        <w:t xml:space="preserve"> </w:t>
      </w:r>
      <w:r>
        <w:t xml:space="preserve">‘don’t pick’</w:t>
      </w:r>
      <w:r>
        <w:t xml:space="preserve"> </w:t>
      </w:r>
      <w:r>
        <w:t xml:space="preserve">box. If you imagine relabeling these boxes you can see that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must equal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den>
            </m:f>
          </m:e>
        </m:d>
      </m:oMath>
      <w:r>
        <w:t xml:space="preserve">.</w:t>
      </w:r>
    </w:p>
    <w:bookmarkEnd w:id="17"/>
    <w:bookmarkEnd w:id="18"/>
    <w:bookmarkStart w:id="23" w:name="pascals-identity"/>
    <w:p>
      <w:pPr>
        <w:pStyle w:val="Heading1"/>
      </w:pPr>
      <w:r>
        <w:t xml:space="preserve">Pascal’s identity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Pascal’s identity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</m:oMath>
            </m:oMathPara>
          </w:p>
          <w:p/>
        </w:tc>
      </w:tr>
    </w:tbl>
    <w:p>
      <w:pPr>
        <w:pStyle w:val="FirstParagraph"/>
      </w:pPr>
      <w:r>
        <w:t xml:space="preserve">Again, you could prove this identity many ways. You’ll see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different ways to approach this in this sheet.</w:t>
      </w:r>
    </w:p>
    <w:bookmarkStart w:id="21" w:name="algebraic-method-1"/>
    <w:p>
      <w:pPr>
        <w:pStyle w:val="Heading2"/>
      </w:pPr>
      <w:r>
        <w:t xml:space="preserve">Algebraic method</w:t>
      </w:r>
    </w:p>
    <w:p>
      <w:pPr>
        <w:pStyle w:val="FirstParagraph"/>
      </w:pPr>
      <w:r>
        <w:t xml:space="preserve">First, an algebraic method: begin by using the formula to rewrite the right hand side.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In order to make the denominators equal, you can multiply the left fraction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right fraction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Simplifying and rewriting the right hand side you can get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as required.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</m:oMath>
      </m:oMathPara>
    </w:p>
    <w:bookmarkEnd w:id="21"/>
    <w:bookmarkStart w:id="22" w:name="counting-method-1"/>
    <w:p>
      <w:pPr>
        <w:pStyle w:val="Heading2"/>
      </w:pPr>
      <w:r>
        <w:t xml:space="preserve">Counting method</w:t>
      </w:r>
    </w:p>
    <w:p>
      <w:pPr>
        <w:pStyle w:val="FirstParagraph"/>
      </w:pPr>
      <w:r>
        <w:t xml:space="preserve">Alternatively, you could also approach this with a counting argument.</w:t>
      </w:r>
    </w:p>
    <w:p>
      <w:pPr>
        <w:pStyle w:val="BodyText"/>
      </w:pPr>
      <w:r>
        <w:t xml:space="preserve">Imagine having a collection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items, and picking one. Let’s call this</w:t>
      </w:r>
      <w:r>
        <w:t xml:space="preserve"> </w:t>
      </w:r>
      <w:r>
        <w:t xml:space="preserve">‘star’</w:t>
      </w:r>
      <w:r>
        <w:t xml:space="preserve">. If you want to pick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elements from the collection, it either includes</w:t>
      </w:r>
      <w:r>
        <w:t xml:space="preserve"> </w:t>
      </w:r>
      <w:r>
        <w:t xml:space="preserve">‘star’</w:t>
      </w:r>
      <w:r>
        <w:t xml:space="preserve"> </w:t>
      </w:r>
      <w:r>
        <w:t xml:space="preserve">or it doesn’t. If it does include</w:t>
      </w:r>
      <w:r>
        <w:t xml:space="preserve"> </w:t>
      </w:r>
      <w:r>
        <w:t xml:space="preserve">‘star’</w:t>
      </w:r>
      <w:r>
        <w:t xml:space="preserve"> </w:t>
      </w:r>
      <w:r>
        <w:t xml:space="preserve">then you need to pick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elements from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elements, there are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</m:oMath>
      <w:r>
        <w:t xml:space="preserve"> </w:t>
      </w:r>
      <w:r>
        <w:t xml:space="preserve">ways to do this. If it does not include</w:t>
      </w:r>
      <w:r>
        <w:t xml:space="preserve"> </w:t>
      </w:r>
      <w:r>
        <w:t xml:space="preserve">‘star’</w:t>
      </w:r>
      <w:r>
        <w:t xml:space="preserve"> </w:t>
      </w:r>
      <w:r>
        <w:t xml:space="preserve">then you need to pick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elements from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elements, there are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ways to do this. Adding these together gives the result.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d>
        </m:oMath>
      </m:oMathPara>
    </w:p>
    <w:bookmarkEnd w:id="22"/>
    <w:bookmarkEnd w:id="23"/>
    <w:bookmarkStart w:id="26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on this topic, please go to</w:t>
      </w:r>
      <w:r>
        <w:t xml:space="preserve"> </w:t>
      </w:r>
      <w:hyperlink r:id="rId9">
        <w:r>
          <w:rPr>
            <w:rStyle w:val="Hyperlink"/>
          </w:rPr>
          <w:t xml:space="preserve">Guide: Introduction to factorials, permutations, and combinations</w:t>
        </w:r>
      </w:hyperlink>
      <w:r>
        <w:t xml:space="preserve">.</w:t>
      </w:r>
    </w:p>
    <w:bookmarkStart w:id="2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03/26 by Jessica Taberner as part of a University of St Andrews VIP project.</w:t>
      </w:r>
    </w:p>
    <w:p>
      <w:pPr>
        <w:pStyle w:val="BodyText"/>
      </w:pPr>
      <w:hyperlink r:id="rId24">
        <w:r>
          <w:rPr>
            <w:rStyle w:val="Hyperlink"/>
          </w:rPr>
          <w:t xml:space="preserve">This work is licensed under CC BY-NC-SA 4.0.</w:t>
        </w:r>
      </w:hyperlink>
    </w:p>
    <w:bookmarkEnd w:id="25"/>
    <w:bookmarkEnd w:id="2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../studyguides/introtofactorials.qmd" TargetMode="External" /><Relationship Type="http://schemas.openxmlformats.org/officeDocument/2006/relationships/hyperlink" Id="rId2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tudyguides/introtofactorials.qmd" TargetMode="External" /><Relationship Type="http://schemas.openxmlformats.org/officeDocument/2006/relationships/hyperlink" Id="rId2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Binomial identities</dc:title>
  <dc:creator>Jessica Taberner</dc:creator>
  <cp:keywords/>
  <dcterms:created xsi:type="dcterms:W3CDTF">2026-09-10T11:51:43Z</dcterms:created>
  <dcterms:modified xsi:type="dcterms:W3CDTF">2026-09-10T11:51:43Z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Proof of binomial identities.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