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 Gaussian elimination</w:t>
      </w:r>
    </w:p>
    <w:bookmarkStart w:id="20" w:name="q1-solutions"/>
    <w:p>
      <w:pPr>
        <w:pStyle w:val="Heading2"/>
      </w:pPr>
      <w:r>
        <w:t xml:space="preserve">Q1 Solutions</w:t>
      </w:r>
    </w:p>
    <w:p>
      <w:pPr>
        <w:pStyle w:val="FirstParagraph"/>
      </w:pPr>
      <w:r>
        <w:t xml:space="preserve">1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2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3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4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5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6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Compac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</w:t>
      </w:r>
    </w:p>
    <w:p>
      <w:pPr>
        <w:pStyle w:val="BodyText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11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6</m:t>
                    </m:r>
                  </m:e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 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t>4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  <m:e>
                    <m:r>
                      <m:t>6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∼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2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 Gaussian elimination</dc:title>
  <dc:creator/>
  <cp:keywords/>
  <dcterms:created xsi:type="dcterms:W3CDTF">2026-06-08T12:53:00Z</dcterms:created>
  <dcterms:modified xsi:type="dcterms:W3CDTF">2026-06-08T12:53:00Z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