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solving first-order linear ODEs using integrating factors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y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y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1.3.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x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1.4.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y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integrating factor for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The integrating factor for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2.3. The integrating factor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sup>
        </m:sSup>
      </m:oMath>
      <w:r>
        <w:t xml:space="preserve">.</w:t>
      </w:r>
    </w:p>
    <w:p>
      <w:pPr>
        <w:pStyle w:val="BodyText"/>
      </w:pPr>
      <w:r>
        <w:t xml:space="preserve">2.4. The integrating factor for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3.2.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3.3. The general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sup>
        </m:sSup>
      </m:oMath>
      <w:r>
        <w:t xml:space="preserve">.</w:t>
      </w:r>
    </w:p>
    <w:p>
      <w:pPr>
        <w:pStyle w:val="BodyText"/>
      </w:pPr>
      <w:r>
        <w:t xml:space="preserve">3.4.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x</m:t>
        </m:r>
      </m:oMath>
      <w:r>
        <w:t xml:space="preserve">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8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4.2.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28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4.3. The exact solution, given the initial condition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π</m:t>
        </m:r>
      </m:oMath>
      <w:r>
        <w:t xml:space="preserve">,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−</m:t>
            </m:r>
            <m:r>
              <m:t>1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sup>
        </m:sSup>
      </m:oMath>
      <w:r>
        <w:t xml:space="preserve">.</w:t>
      </w:r>
    </w:p>
    <w:p>
      <w:pPr>
        <w:pStyle w:val="BodyText"/>
      </w:pPr>
      <w:r>
        <w:t xml:space="preserve">4.4.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5.2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</m:t>
                </m:r>
              </m:den>
            </m:f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5.3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1</m:t>
        </m:r>
      </m:oMath>
      <w:r>
        <w:t xml:space="preserve">, is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sSup>
          <m:e>
            <m:r>
              <m:rPr>
                <m:sty m:val="p"/>
              </m:rPr>
              <m:t>csc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5.4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, is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egratingfacto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egratingfacto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first-order linear ODEs using integrating factors</dc:title>
  <dc:creator>Maddi Koenig</dc:creator>
  <cp:keywords/>
  <dcterms:created xsi:type="dcterms:W3CDTF">2026-06-08T12:53:13Z</dcterms:created>
  <dcterms:modified xsi:type="dcterms:W3CDTF">2026-06-08T12:53:13Z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