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2.png" ContentType="image/png"/>
  <Override PartName="/word/media/rId51.png" ContentType="image/png"/>
  <Override PartName="/word/media/rId55.png" ContentType="image/png"/>
  <Override PartName="/word/media/rId45.png" ContentType="image/png"/>
  <Override PartName="/word/media/rId41.png" ContentType="image/png"/>
  <Override PartName="/word/media/rId59.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20">
        <w:r>
          <w:rPr>
            <w:rStyle w:val="Hyperlink"/>
            <w:b/>
            <w:bCs/>
          </w:rPr>
          <w:t xml:space="preserve">Guide: Trigonometry (radians)</w:t>
        </w:r>
      </w:hyperlink>
      <w:r>
        <w:rPr>
          <w:b/>
          <w:bCs/>
        </w:rPr>
        <w:t xml:space="preserve">.</w:t>
      </w:r>
    </w:p>
    <w:bookmarkStart w:id="2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1"/>
    <w:bookmarkStart w:id="38"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2523010" cy="1403711"/>
                  <wp:effectExtent b="0" l="0" r="0" t="0"/>
                  <wp:docPr descr="" title="" id="23" name="Picture"/>
                  <a:graphic>
                    <a:graphicData uri="http://schemas.openxmlformats.org/drawingml/2006/picture">
                      <pic:pic>
                        <pic:nvPicPr>
                          <pic:cNvPr descr="./FiguresPNG/intrototrig-fig1-1.png" id="24" name="Picture"/>
                          <pic:cNvPicPr>
                            <a:picLocks noChangeArrowheads="1" noChangeAspect="1"/>
                          </pic:cNvPicPr>
                        </pic:nvPicPr>
                        <pic:blipFill>
                          <a:blip r:embed="rId2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0"/>
                <w:p>
                  <w:pPr>
                    <w:pStyle w:val="Compact"/>
                    <w:jc w:val="center"/>
                  </w:pPr>
                  <w:r>
                    <w:drawing>
                      <wp:inline>
                        <wp:extent cx="2223307" cy="1388420"/>
                        <wp:effectExtent b="0" l="0" r="0" t="0"/>
                        <wp:docPr descr="" title="" id="35" name="Picture"/>
                        <a:graphic>
                          <a:graphicData uri="http://schemas.openxmlformats.org/drawingml/2006/picture">
                            <pic:pic>
                              <pic:nvPicPr>
                                <pic:cNvPr descr="./FiguresPNG/intrototrig-fig0-1.png" id="36" name="Picture"/>
                                <pic:cNvPicPr>
                                  <a:picLocks noChangeArrowheads="1" noChangeAspect="1"/>
                                </pic:cNvPicPr>
                              </pic:nvPicPr>
                              <pic:blipFill>
                                <a:blip r:embed="rId3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7"/>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End w:id="38"/>
    <w:bookmarkStart w:id="64"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880789"/>
                        <wp:effectExtent b="0" l="0" r="0" t="0"/>
                        <wp:docPr descr="" title="" id="42" name="Picture"/>
                        <a:graphic>
                          <a:graphicData uri="http://schemas.openxmlformats.org/drawingml/2006/picture">
                            <pic:pic>
                              <pic:nvPicPr>
                                <pic:cNvPr descr="./FiguresPNG/intrototrigd-fig4-2.png" id="43" name="Picture"/>
                                <pic:cNvPicPr>
                                  <a:picLocks noChangeArrowheads="1" noChangeAspect="1"/>
                                </pic:cNvPicPr>
                              </pic:nvPicPr>
                              <pic:blipFill>
                                <a:blip r:embed="rId41"/>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d-fig2-3.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48"/>
        </w:tc>
      </w:tr>
    </w:tbl>
    <w:p>
      <w:pPr>
        <w:pStyle w:val="BodyText"/>
      </w:pPr>
      <w:r>
        <w:t xml:space="preserve">So from Example 1, the value of</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sSup>
              <m:e>
                <m:r>
                  <m:t>90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90</m:t>
                </m:r>
              </m:e>
              <m:sup>
                <m:r>
                  <m:rPr>
                    <m:sty m:val="p"/>
                  </m:rPr>
                  <m:t>∘</m:t>
                </m:r>
              </m:sup>
            </m:sSup>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sSup>
              <m:e>
                <m:r>
                  <m:t>90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90</m:t>
                </m:r>
              </m:e>
              <m:sup>
                <m:r>
                  <m:rPr>
                    <m:sty m:val="p"/>
                  </m:rPr>
                  <m:t>∘</m:t>
                </m:r>
              </m:sup>
            </m:sSup>
          </m:e>
        </m:d>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sSup>
              <m:e>
                <m:r>
                  <m:t>180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sSup>
              <m:e>
                <m:r>
                  <m:t>180</m:t>
                </m:r>
              </m:e>
              <m:sup>
                <m:r>
                  <m:rPr>
                    <m:sty m:val="p"/>
                  </m:rPr>
                  <m:t>∘</m:t>
                </m:r>
              </m:sup>
            </m:sSup>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sSup>
              <m:e>
                <m:r>
                  <m:t>180</m:t>
                </m:r>
              </m:e>
              <m:sup>
                <m:r>
                  <m:rPr>
                    <m:sty m:val="p"/>
                  </m:rPr>
                  <m:t>∘</m:t>
                </m:r>
              </m:sup>
            </m:sSup>
          </m:e>
        </m:d>
        <m:r>
          <m:rPr>
            <m:sty m:val="p"/>
          </m:rPr>
          <m:t>=</m:t>
        </m:r>
        <m:r>
          <m:rPr>
            <m:sty m:val="p"/>
          </m:rPr>
          <m:t>sin</m:t>
        </m:r>
        <m:d>
          <m:dPr>
            <m:begChr m:val="("/>
            <m:sepChr m:val=""/>
            <m:endChr m:val=")"/>
            <m:grow/>
          </m:dPr>
          <m:e>
            <m:sSup>
              <m:e>
                <m:r>
                  <m:t>180</m:t>
                </m:r>
              </m:e>
              <m:sup>
                <m:r>
                  <m:rPr>
                    <m:sty m:val="p"/>
                  </m:rPr>
                  <m:t>∘</m:t>
                </m:r>
              </m:sup>
            </m:sSup>
          </m:e>
        </m:d>
        <m:r>
          <m:rPr>
            <m:sty m:val="p"/>
          </m:rPr>
          <m:t>/</m:t>
        </m:r>
        <m:r>
          <m:rPr>
            <m:sty m:val="p"/>
          </m:rPr>
          <m:t>cos</m:t>
        </m:r>
        <m:d>
          <m:dPr>
            <m:begChr m:val="("/>
            <m:sepChr m:val=""/>
            <m:endChr m:val=")"/>
            <m:grow/>
          </m:dPr>
          <m:e>
            <m:sSup>
              <m:e>
                <m:r>
                  <m:t>180</m:t>
                </m:r>
              </m:e>
              <m:sup>
                <m:r>
                  <m:rPr>
                    <m:sty m:val="p"/>
                  </m:rPr>
                  <m:t>∘</m:t>
                </m:r>
              </m:sup>
            </m:sSup>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sSup>
              <m:e>
                <m:r>
                  <m:t>270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270</m:t>
                </m:r>
              </m:e>
              <m:sup>
                <m:r>
                  <m:rPr>
                    <m:sty m:val="p"/>
                  </m:rPr>
                  <m:t>∘</m:t>
                </m:r>
              </m:sup>
            </m:sSup>
          </m:e>
        </m:d>
        <m:r>
          <m:rPr>
            <m:sty m:val="p"/>
          </m:rPr>
          <m:t>=</m:t>
        </m:r>
        <m:r>
          <m:t>0</m:t>
        </m:r>
      </m:oMath>
      <w:r>
        <w:t xml:space="preserve">.</w:t>
      </w:r>
    </w:p>
    <w:bookmarkStart w:id="6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2" w:name="fig-6"/>
          <w:p>
            <w:pPr>
              <w:pStyle w:val="Compact"/>
              <w:jc w:val="center"/>
            </w:pPr>
            <w:r>
              <w:drawing>
                <wp:inline>
                  <wp:extent cx="5737171" cy="1905254"/>
                  <wp:effectExtent b="0" l="0" r="0" t="0"/>
                  <wp:docPr descr="" title="" id="60" name="Picture"/>
                  <a:graphic>
                    <a:graphicData uri="http://schemas.openxmlformats.org/drawingml/2006/picture">
                      <pic:pic>
                        <pic:nvPicPr>
                          <pic:cNvPr descr="./FiguresPNG/intrototrigd-fig6-1.png" id="61" name="Picture"/>
                          <pic:cNvPicPr>
                            <a:picLocks noChangeArrowheads="1" noChangeAspect="1"/>
                          </pic:cNvPicPr>
                        </pic:nvPicPr>
                        <pic:blipFill>
                          <a:blip r:embed="rId5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62"/>
        </w:tc>
      </w:tr>
    </w:tbl>
    <w:bookmarkEnd w:id="63"/>
    <w:bookmarkEnd w:id="64"/>
    <w:bookmarkStart w:id="7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r>
                  <m:rPr>
                    <m:sty m:val="p"/>
                  </m:rPr>
                  <m:t>=</m:t>
                </m:r>
                <m:f>
                  <m:fPr>
                    <m:type m:val="bar"/>
                  </m:fPr>
                  <m:num>
                    <m:r>
                      <m:t>1</m:t>
                    </m:r>
                  </m:num>
                  <m:den>
                    <m:r>
                      <m:rPr>
                        <m:sty m:val="p"/>
                      </m:rPr>
                      <m:t>sin</m:t>
                    </m:r>
                    <m:d>
                      <m:dPr>
                        <m:begChr m:val="("/>
                        <m:sepChr m:val=""/>
                        <m:endChr m:val=")"/>
                        <m:grow/>
                      </m:dPr>
                      <m:e>
                        <m:r>
                          <m:t>45</m:t>
                        </m:r>
                      </m:e>
                    </m:d>
                  </m:den>
                </m:f>
                <m:r>
                  <m:rPr>
                    <m:sty m:val="p"/>
                  </m:rPr>
                  <m:t>+</m:t>
                </m:r>
                <m:f>
                  <m:fPr>
                    <m:type m:val="bar"/>
                  </m:fPr>
                  <m:num>
                    <m:r>
                      <m:t>1</m:t>
                    </m:r>
                  </m:num>
                  <m:den>
                    <m:r>
                      <m:rPr>
                        <m:sty m:val="p"/>
                      </m:rPr>
                      <m:t>tan</m:t>
                    </m:r>
                    <m:d>
                      <m:dPr>
                        <m:begChr m:val="("/>
                        <m:sepChr m:val=""/>
                        <m:endChr m:val=")"/>
                        <m:grow/>
                      </m:dPr>
                      <m:e>
                        <m:r>
                          <m:t>30</m:t>
                        </m:r>
                      </m:e>
                    </m:d>
                  </m:den>
                </m:f>
                <m:r>
                  <m:rPr>
                    <m:sty m:val="p"/>
                  </m:rPr>
                  <m:t>+</m:t>
                </m:r>
                <m:f>
                  <m:fPr>
                    <m:type m:val="bar"/>
                  </m:fPr>
                  <m:num>
                    <m:r>
                      <m:t>1</m:t>
                    </m:r>
                  </m:num>
                  <m:den>
                    <m:r>
                      <m:rPr>
                        <m:sty m:val="p"/>
                      </m:rPr>
                      <m:t>cos</m:t>
                    </m:r>
                    <m:d>
                      <m:dPr>
                        <m:begChr m:val="("/>
                        <m:sepChr m:val=""/>
                        <m:endChr m:val=")"/>
                        <m:grow/>
                      </m:dPr>
                      <m:e>
                        <m:r>
                          <m:t>60</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r>
              <w:t xml:space="preserve">.</w:t>
            </w:r>
          </w:p>
          <w:p>
            <w:pPr>
              <w:pStyle w:val="BodyText"/>
            </w:pPr>
            <w:r>
              <w:t xml:space="preserve">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1"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60</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1"/>
    <w:bookmarkEnd w:id="72"/>
    <w:bookmarkStart w:id="78" w:name="further-reading"/>
    <w:p>
      <w:pPr>
        <w:pStyle w:val="Heading1"/>
      </w:pPr>
      <w:r>
        <w:t xml:space="preserve">Further reading</w:t>
      </w:r>
    </w:p>
    <w:p>
      <w:pPr>
        <w:pStyle w:val="FirstParagraph"/>
      </w:pPr>
      <w:hyperlink r:id="rId73">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74">
        <w:r>
          <w:rPr>
            <w:rStyle w:val="Hyperlink"/>
          </w:rPr>
          <w:t xml:space="preserve">Guide: Trigonometric identities (degrees)</w:t>
        </w:r>
      </w:hyperlink>
      <w:r>
        <w:t xml:space="preserve"> </w:t>
      </w:r>
      <w:r>
        <w:t xml:space="preserve">or</w:t>
      </w:r>
      <w:r>
        <w:t xml:space="preserve"> </w:t>
      </w:r>
      <w:hyperlink r:id="rId75">
        <w:r>
          <w:rPr>
            <w:rStyle w:val="Hyperlink"/>
          </w:rPr>
          <w:t xml:space="preserve">Guide: Rearranging equations involving trigonometry and logarithms</w:t>
        </w:r>
      </w:hyperlink>
      <w:r>
        <w:t xml:space="preserve">.</w:t>
      </w:r>
    </w:p>
    <w:p>
      <w:pPr>
        <w:pStyle w:val="BodyText"/>
      </w:pPr>
      <w:hyperlink r:id="rId20">
        <w:r>
          <w:rPr>
            <w:rStyle w:val="Hyperlink"/>
          </w:rPr>
          <w:t xml:space="preserve">Guide: Trigonometry (radians) is a version of this guide using radians to measure angles.</w:t>
        </w:r>
      </w:hyperlink>
    </w:p>
    <w:bookmarkStart w:id="7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2026-06-08T12:57:26Z</dcterms:created>
  <dcterms:modified xsi:type="dcterms:W3CDTF">2026-06-08T12:57:26Z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