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45.png" ContentType="image/png"/>
  <Override PartName="/word/media/rId51.png" ContentType="image/png"/>
  <Override PartName="/word/media/rId41.png" ContentType="image/png"/>
  <Override PartName="/word/media/rId55.png" ContentType="image/png"/>
  <Override PartName="/word/media/rId60.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20">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21">
        <w:r>
          <w:rPr>
            <w:rStyle w:val="Hyperlink"/>
            <w:b/>
            <w:bCs/>
          </w:rPr>
          <w:t xml:space="preserve">Guide: Trigonometry (degrees)</w:t>
        </w:r>
      </w:hyperlink>
      <w:r>
        <w:rPr>
          <w:b/>
          <w:bCs/>
        </w:rPr>
        <w:t xml:space="preserve">.</w:t>
      </w:r>
    </w:p>
    <w:bookmarkStart w:id="22"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2"/>
    <w:bookmarkStart w:id="65"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2523010" cy="1403711"/>
                  <wp:effectExtent b="0" l="0" r="0" t="0"/>
                  <wp:docPr descr="" title="" id="24" name="Picture"/>
                  <a:graphic>
                    <a:graphicData uri="http://schemas.openxmlformats.org/drawingml/2006/picture">
                      <pic:pic>
                        <pic:nvPicPr>
                          <pic:cNvPr descr="./FiguresPNG/intrototrig-fig1-1.png" id="25" name="Picture"/>
                          <pic:cNvPicPr>
                            <a:picLocks noChangeArrowheads="1" noChangeAspect="1"/>
                          </pic:cNvPicPr>
                        </pic:nvPicPr>
                        <pic:blipFill>
                          <a:blip r:embed="rId23"/>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6"/>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0"/>
                <w:p>
                  <w:pPr>
                    <w:pStyle w:val="Compact"/>
                    <w:jc w:val="center"/>
                  </w:pPr>
                  <w:r>
                    <w:drawing>
                      <wp:inline>
                        <wp:extent cx="2223307" cy="1388420"/>
                        <wp:effectExtent b="0" l="0" r="0" t="0"/>
                        <wp:docPr descr="" title="" id="36" name="Picture"/>
                        <a:graphic>
                          <a:graphicData uri="http://schemas.openxmlformats.org/drawingml/2006/picture">
                            <pic:pic>
                              <pic:nvPicPr>
                                <pic:cNvPr descr="./FiguresPNG/intrototrig-fig0-1.png" id="37" name="Picture"/>
                                <pic:cNvPicPr>
                                  <a:picLocks noChangeArrowheads="1" noChangeAspect="1"/>
                                </pic:cNvPicPr>
                              </pic:nvPicPr>
                              <pic:blipFill>
                                <a:blip r:embed="rId35"/>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8"/>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Start w:id="59"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f>
                    <m:fPr>
                      <m:type m:val="bar"/>
                    </m:fPr>
                    <m:num>
                      <m:r>
                        <m:t>4</m:t>
                      </m:r>
                      <m:r>
                        <m:t>π</m:t>
                      </m:r>
                    </m:num>
                    <m:den>
                      <m:r>
                        <m:t>3</m:t>
                      </m:r>
                    </m:den>
                  </m:f>
                </m:e>
              </m:d>
            </m:oMath>
            <w:r>
              <w:t xml:space="preserve"> </w:t>
            </w:r>
            <w:r>
              <w:t xml:space="preserve">and</w:t>
            </w:r>
            <w:r>
              <w:t xml:space="preserve"> </w:t>
            </w:r>
            <m:oMath>
              <m:r>
                <m:rPr>
                  <m:sty m:val="p"/>
                </m:rPr>
                <m:t>cos</m:t>
              </m:r>
              <m:d>
                <m:dPr>
                  <m:begChr m:val="("/>
                  <m:sepChr m:val=""/>
                  <m:endChr m:val=")"/>
                  <m:grow/>
                </m:dPr>
                <m:e>
                  <m:f>
                    <m:fPr>
                      <m:type m:val="bar"/>
                    </m:fPr>
                    <m:num>
                      <m:r>
                        <m:t>4</m:t>
                      </m:r>
                      <m:r>
                        <m:t>π</m:t>
                      </m:r>
                    </m:num>
                    <m:den>
                      <m:r>
                        <m:t>3</m:t>
                      </m:r>
                    </m:den>
                  </m:f>
                </m:e>
              </m:d>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902196"/>
                        <wp:effectExtent b="0" l="0" r="0" t="0"/>
                        <wp:docPr descr="" title="" id="42" name="Picture"/>
                        <a:graphic>
                          <a:graphicData uri="http://schemas.openxmlformats.org/drawingml/2006/picture">
                            <pic:pic>
                              <pic:nvPicPr>
                                <pic:cNvPr descr="./FiguresPNG/intrototrig-fig4-4.png" id="43" name="Picture"/>
                                <pic:cNvPicPr>
                                  <a:picLocks noChangeArrowheads="1" noChangeAspect="1"/>
                                </pic:cNvPicPr>
                              </pic:nvPicPr>
                              <pic:blipFill>
                                <a:blip r:embed="rId41"/>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fig2-2.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48"/>
        </w:tc>
      </w:tr>
    </w:tbl>
    <w:p>
      <w:pPr>
        <w:pStyle w:val="BodyText"/>
      </w:pPr>
      <w:r>
        <w:t xml:space="preserve">So from Example 1, the value of</w:t>
      </w:r>
      <w:r>
        <w:t xml:space="preserve"> </w:t>
      </w:r>
      <m:oMath>
        <m:r>
          <m:rPr>
            <m:sty m:val="p"/>
          </m:rPr>
          <m:t>sin</m:t>
        </m:r>
        <m:d>
          <m:dPr>
            <m:begChr m:val="("/>
            <m:sepChr m:val=""/>
            <m:endChr m:val=")"/>
            <m:grow/>
          </m:dPr>
          <m:e>
            <m:r>
              <m:t>4</m:t>
            </m:r>
            <m:r>
              <m:t>π</m:t>
            </m:r>
            <m:r>
              <m:rPr>
                <m:sty m:val="p"/>
              </m:rPr>
              <m:t>/</m:t>
            </m:r>
            <m:r>
              <m:t>3</m:t>
            </m:r>
          </m:e>
        </m:d>
      </m:oMath>
      <w:r>
        <w:t xml:space="preserve"> </w:t>
      </w:r>
      <w:r>
        <w:t xml:space="preserve">and</w:t>
      </w:r>
      <w:r>
        <w:t xml:space="preserve"> </w:t>
      </w:r>
      <m:oMath>
        <m:r>
          <m:rPr>
            <m:sty m:val="p"/>
          </m:rPr>
          <m:t>cos</m:t>
        </m:r>
        <m:d>
          <m:dPr>
            <m:begChr m:val="("/>
            <m:sepChr m:val=""/>
            <m:endChr m:val=")"/>
            <m:grow/>
          </m:dPr>
          <m:e>
            <m:r>
              <m:t>4</m:t>
            </m:r>
            <m:r>
              <m:t>π</m:t>
            </m:r>
            <m:r>
              <m:rPr>
                <m:sty m:val="p"/>
              </m:rPr>
              <m:t>/</m:t>
            </m:r>
            <m:r>
              <m:t>3</m:t>
            </m:r>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2</m:t>
            </m:r>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π</m:t>
            </m:r>
            <m:r>
              <m:rPr>
                <m:sty m:val="p"/>
              </m:rPr>
              <m:t>/</m:t>
            </m:r>
            <m:r>
              <m:t>2</m:t>
            </m:r>
          </m:e>
        </m:d>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π</m:t>
            </m:r>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r>
              <m:t>π</m:t>
            </m:r>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r>
              <m:t>π</m:t>
            </m:r>
          </m:e>
        </m:d>
        <m:r>
          <m:rPr>
            <m:sty m:val="p"/>
          </m:rPr>
          <m:t>=</m:t>
        </m:r>
        <m:r>
          <m:rPr>
            <m:sty m:val="p"/>
          </m:rPr>
          <m:t>sin</m:t>
        </m:r>
        <m:d>
          <m:dPr>
            <m:begChr m:val="("/>
            <m:sepChr m:val=""/>
            <m:endChr m:val=")"/>
            <m:grow/>
          </m:dPr>
          <m:e>
            <m:r>
              <m:t>π</m:t>
            </m:r>
          </m:e>
        </m:d>
        <m:r>
          <m:rPr>
            <m:sty m:val="p"/>
          </m:rPr>
          <m:t>/</m:t>
        </m:r>
        <m:r>
          <m:rPr>
            <m:sty m:val="p"/>
          </m:rPr>
          <m:t>cos</m:t>
        </m:r>
        <m:d>
          <m:dPr>
            <m:begChr m:val="("/>
            <m:sepChr m:val=""/>
            <m:endChr m:val=")"/>
            <m:grow/>
          </m:dPr>
          <m:e>
            <m:r>
              <m:t>π</m:t>
            </m:r>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r>
              <m:t>3</m:t>
            </m:r>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3</m:t>
            </m:r>
            <m:r>
              <m:t>π</m:t>
            </m:r>
            <m:r>
              <m:rPr>
                <m:sty m:val="p"/>
              </m:rPr>
              <m:t>/</m:t>
            </m:r>
            <m:r>
              <m:t>2</m:t>
            </m:r>
          </m:e>
        </m:d>
        <m:r>
          <m:rPr>
            <m:sty m:val="p"/>
          </m:rPr>
          <m:t>=</m:t>
        </m:r>
        <m:r>
          <m:t>0</m:t>
        </m:r>
      </m:oMath>
      <w:r>
        <w:t xml:space="preserve">.</w:t>
      </w:r>
    </w:p>
    <w:bookmarkEnd w:id="59"/>
    <w:bookmarkStart w:id="64"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3" w:name="fig-6"/>
          <w:p>
            <w:pPr>
              <w:pStyle w:val="Compact"/>
              <w:jc w:val="center"/>
            </w:pPr>
            <w:r>
              <w:drawing>
                <wp:inline>
                  <wp:extent cx="5737171" cy="1905254"/>
                  <wp:effectExtent b="0" l="0" r="0" t="0"/>
                  <wp:docPr descr="" title="" id="61" name="Picture"/>
                  <a:graphic>
                    <a:graphicData uri="http://schemas.openxmlformats.org/drawingml/2006/picture">
                      <pic:pic>
                        <pic:nvPicPr>
                          <pic:cNvPr descr="./FiguresPNG/intrototrig-fig6-6.png" id="62" name="Picture"/>
                          <pic:cNvPicPr>
                            <a:picLocks noChangeArrowheads="1" noChangeAspect="1"/>
                          </pic:cNvPicPr>
                        </pic:nvPicPr>
                        <pic:blipFill>
                          <a:blip r:embed="rId60"/>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63"/>
        </w:tc>
      </w:tr>
    </w:tbl>
    <w:bookmarkEnd w:id="64"/>
    <w:bookmarkEnd w:id="65"/>
    <w:bookmarkStart w:id="73"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r>
                  <m:rPr>
                    <m:sty m:val="p"/>
                  </m:rPr>
                  <m:t>=</m:t>
                </m:r>
                <m:f>
                  <m:fPr>
                    <m:type m:val="bar"/>
                  </m:fPr>
                  <m:num>
                    <m:r>
                      <m:t>1</m:t>
                    </m:r>
                  </m:num>
                  <m:den>
                    <m:r>
                      <m:rPr>
                        <m:sty m:val="p"/>
                      </m:rPr>
                      <m:t>sin</m:t>
                    </m:r>
                    <m:d>
                      <m:dPr>
                        <m:begChr m:val="("/>
                        <m:sepChr m:val=""/>
                        <m:endChr m:val=")"/>
                        <m:grow/>
                      </m:dPr>
                      <m:e>
                        <m:r>
                          <m:t>π</m:t>
                        </m:r>
                        <m:r>
                          <m:rPr>
                            <m:sty m:val="p"/>
                          </m:rPr>
                          <m:t>/</m:t>
                        </m:r>
                        <m:r>
                          <m:t>4</m:t>
                        </m:r>
                      </m:e>
                    </m:d>
                  </m:den>
                </m:f>
                <m:r>
                  <m:rPr>
                    <m:sty m:val="p"/>
                  </m:rPr>
                  <m:t>+</m:t>
                </m:r>
                <m:f>
                  <m:fPr>
                    <m:type m:val="bar"/>
                  </m:fPr>
                  <m:num>
                    <m:r>
                      <m:t>1</m:t>
                    </m:r>
                  </m:num>
                  <m:den>
                    <m:r>
                      <m:rPr>
                        <m:sty m:val="p"/>
                      </m:rPr>
                      <m:t>tan</m:t>
                    </m:r>
                    <m:d>
                      <m:dPr>
                        <m:begChr m:val="("/>
                        <m:sepChr m:val=""/>
                        <m:endChr m:val=")"/>
                        <m:grow/>
                      </m:dPr>
                      <m:e>
                        <m:r>
                          <m:t>π</m:t>
                        </m:r>
                        <m:r>
                          <m:rPr>
                            <m:sty m:val="p"/>
                          </m:rPr>
                          <m:t>/</m:t>
                        </m:r>
                        <m:r>
                          <m:t>6</m:t>
                        </m:r>
                      </m:e>
                    </m:d>
                  </m:den>
                </m:f>
                <m:r>
                  <m:rPr>
                    <m:sty m:val="p"/>
                  </m:rPr>
                  <m:t>+</m:t>
                </m:r>
                <m:f>
                  <m:fPr>
                    <m:type m:val="bar"/>
                  </m:fPr>
                  <m:num>
                    <m:r>
                      <m:t>1</m:t>
                    </m:r>
                  </m:num>
                  <m:den>
                    <m:r>
                      <m:rPr>
                        <m:sty m:val="p"/>
                      </m:rPr>
                      <m:t>cos</m:t>
                    </m:r>
                    <m:d>
                      <m:dPr>
                        <m:begChr m:val="("/>
                        <m:sepChr m:val=""/>
                        <m:endChr m:val=")"/>
                        <m:grow/>
                      </m:dPr>
                      <m:e>
                        <m:r>
                          <m:t>π</m:t>
                        </m:r>
                        <m:r>
                          <m:rPr>
                            <m:sty m:val="p"/>
                          </m:rPr>
                          <m:t>/</m:t>
                        </m:r>
                        <m:r>
                          <m:t>3</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p>
          <w:p>
            <w:pPr>
              <w:pStyle w:val="BodyText"/>
            </w:pPr>
            <w:r>
              <w:rPr>
                <w:b/>
                <w:bCs/>
              </w:rPr>
              <w:t xml:space="preserve">Solution</w:t>
            </w:r>
            <w:r>
              <w:t xml:space="preserve">: 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2"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π</m:t>
            </m:r>
            <m:r>
              <m:rPr>
                <m:sty m:val="p"/>
              </m:rPr>
              <m:t>/</m:t>
            </m:r>
            <m:r>
              <m:t>3</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2"/>
    <w:bookmarkEnd w:id="73"/>
    <w:bookmarkStart w:id="79" w:name="further-reading"/>
    <w:p>
      <w:pPr>
        <w:pStyle w:val="Heading1"/>
      </w:pPr>
      <w:r>
        <w:t xml:space="preserve">Further reading</w:t>
      </w:r>
    </w:p>
    <w:p>
      <w:pPr>
        <w:pStyle w:val="FirstParagraph"/>
      </w:pPr>
      <w:hyperlink r:id="rId74">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75">
        <w:r>
          <w:rPr>
            <w:rStyle w:val="Hyperlink"/>
          </w:rPr>
          <w:t xml:space="preserve">Guide: Trigonometric identities (radians)</w:t>
        </w:r>
      </w:hyperlink>
      <w:r>
        <w:t xml:space="preserve"> </w:t>
      </w:r>
      <w:r>
        <w:t xml:space="preserve">or</w:t>
      </w:r>
      <w:r>
        <w:t xml:space="preserve"> </w:t>
      </w:r>
      <w:hyperlink r:id="rId76">
        <w:r>
          <w:rPr>
            <w:rStyle w:val="Hyperlink"/>
          </w:rPr>
          <w:t xml:space="preserve">Guide: Rearranging equations involving trigonometry and logarithms</w:t>
        </w:r>
      </w:hyperlink>
      <w:r>
        <w:t xml:space="preserve">.</w:t>
      </w:r>
    </w:p>
    <w:p>
      <w:pPr>
        <w:pStyle w:val="BodyText"/>
      </w:pPr>
      <w:hyperlink r:id="rId21">
        <w:r>
          <w:rPr>
            <w:rStyle w:val="Hyperlink"/>
          </w:rPr>
          <w:t xml:space="preserve">Guide: Trigonometry (degrees) is a version of this guide using degrees to measure angles.</w:t>
        </w:r>
      </w:hyperlink>
    </w:p>
    <w:bookmarkStart w:id="78"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2026-06-08T13:01:34Z</dcterms:created>
  <dcterms:modified xsi:type="dcterms:W3CDTF">2026-06-08T13:01:34Z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