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d>
          <m:dPr>
            <m:begChr m:val="("/>
            <m:sepChr m:val=""/>
            <m:endChr m:val=")"/>
            <m:grow/>
          </m:dPr>
          <m:e>
            <m:r>
              <m:t>μ</m:t>
            </m:r>
            <m:r>
              <m:rPr>
                <m:sty m:val="p"/>
              </m:rPr>
              <m:t>,</m:t>
            </m:r>
            <m:sSup>
              <m:e>
                <m:r>
                  <m:t>σ</m:t>
                </m:r>
              </m:e>
              <m:sup>
                <m:r>
                  <m:t>2</m:t>
                </m:r>
              </m:sup>
            </m:sSup>
          </m:e>
        </m:d>
      </m:oMath>
      <w:r>
        <w:t xml:space="preserve">.</w:t>
      </w:r>
    </w:p>
    <w:p>
      <w:pPr>
        <w:pStyle w:val="CaptionedFigure"/>
      </w:pPr>
      <w:r>
        <w:drawing>
          <wp:inline>
            <wp:extent cx="4754880" cy="5661035"/>
            <wp:effectExtent b="0" l="0" r="0" t="0"/>
            <wp:docPr descr="An example of the normal distribution with \mu = 0 and \sigma = 1." title="" id="21" name="Picture"/>
            <a:graphic>
              <a:graphicData uri="http://schemas.openxmlformats.org/drawingml/2006/picture">
                <pic:pic>
                  <pic:nvPicPr>
                    <pic:cNvPr descr="./FiguresPNG/f-normaldist.png" id="22" name="Picture"/>
                    <pic:cNvPicPr>
                      <a:picLocks noChangeArrowheads="1" noChangeAspect="1"/>
                    </pic:cNvPicPr>
                  </pic:nvPicPr>
                  <pic:blipFill>
                    <a:blip r:embed="rId20"/>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d>
          <m:dPr>
            <m:begChr m:val="("/>
            <m:sepChr m:val=""/>
            <m:endChr m:val=")"/>
            <m:grow/>
          </m:dPr>
          <m:e>
            <m:r>
              <m:t>μ</m:t>
            </m:r>
            <m:r>
              <m:rPr>
                <m:sty m:val="p"/>
              </m:rPr>
              <m:t>,</m:t>
            </m:r>
            <m:sSup>
              <m:e>
                <m:r>
                  <m:t>σ</m:t>
                </m:r>
              </m:e>
              <m:sup>
                <m:r>
                  <m:t>2</m:t>
                </m:r>
              </m:sup>
            </m:sSup>
          </m:e>
        </m:d>
      </m:oMath>
      <w:r>
        <w:t xml:space="preserve"> </w:t>
      </w:r>
      <w:r>
        <w:t xml:space="preserve">or</w:t>
      </w:r>
      <w:r>
        <w:t xml:space="preserve"> </w:t>
      </w:r>
      <m:oMath>
        <m:r>
          <m:t>X</m:t>
        </m:r>
        <m:r>
          <m:rPr>
            <m:sty m:val="p"/>
          </m:rPr>
          <m:t>∼</m:t>
        </m:r>
        <m:r>
          <m:t>N</m:t>
        </m:r>
        <m:d>
          <m:dPr>
            <m:begChr m:val="("/>
            <m:sepChr m:val=""/>
            <m:endChr m:val=")"/>
            <m:grow/>
          </m:dPr>
          <m:e>
            <m:r>
              <m:t>μ</m:t>
            </m:r>
            <m:r>
              <m:rPr>
                <m:sty m:val="p"/>
              </m:rPr>
              <m:t>,</m:t>
            </m:r>
            <m:sSup>
              <m:e>
                <m:r>
                  <m:t>σ</m:t>
                </m:r>
              </m:e>
              <m:sup>
                <m:r>
                  <m:t>2</m:t>
                </m:r>
              </m:sup>
            </m:sSup>
          </m:e>
        </m:d>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d>
                            <m:dPr>
                              <m:begChr m:val="("/>
                              <m:sepChr m:val=""/>
                              <m:endChr m:val=")"/>
                              <m:grow/>
                            </m:dPr>
                            <m:e>
                              <m:r>
                                <m:t>x</m:t>
                              </m:r>
                              <m:r>
                                <m:rPr>
                                  <m:sty m:val="p"/>
                                </m:rPr>
                                <m:t>−</m:t>
                              </m:r>
                              <m:r>
                                <m:t>μ</m:t>
                              </m:r>
                            </m:e>
                          </m:d>
                        </m:e>
                        <m:sup>
                          <m:r>
                            <m:t>2</m:t>
                          </m:r>
                        </m:sup>
                      </m:sSup>
                    </m:num>
                    <m:den>
                      <m:r>
                        <m:t>2</m:t>
                      </m:r>
                      <m:sSup>
                        <m:e>
                          <m:r>
                            <m:t>σ</m:t>
                          </m:r>
                        </m:e>
                        <m:sup>
                          <m:r>
                            <m:t>2</m:t>
                          </m:r>
                        </m:sup>
                      </m:sSup>
                    </m:den>
                  </m:f>
                </m:e>
              </m:d>
            </m:oMath>
          </w:p>
        </w:tc>
        <w:tc>
          <w:tcPr/>
          <w:p>
            <w:pPr>
              <w:pStyle w:val="Compact"/>
              <w:jc w:val="left"/>
            </w:pPr>
            <m:oMath>
              <m:r>
                <m:rPr>
                  <m:sty m:val="p"/>
                </m:rPr>
                <m:t>exp</m:t>
              </m:r>
              <m:d>
                <m:dPr>
                  <m:begChr m:val="("/>
                  <m:sepChr m:val=""/>
                  <m:endChr m:val=")"/>
                  <m:grow/>
                </m:dPr>
                <m:e>
                  <m:r>
                    <m:t>y</m:t>
                  </m:r>
                </m:e>
              </m:d>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d>
                <m:dPr>
                  <m:begChr m:val="("/>
                  <m:sepChr m:val=""/>
                  <m:endChr m:val=")"/>
                  <m:grow/>
                </m:dPr>
                <m:e>
                  <m:r>
                    <m:t>x</m:t>
                  </m:r>
                </m:e>
              </m:d>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d>
          <m:dPr>
            <m:begChr m:val="("/>
            <m:sepChr m:val=""/>
            <m:endChr m:val=")"/>
            <m:grow/>
          </m:dPr>
          <m:e>
            <m:r>
              <m:t>5.6</m:t>
            </m:r>
            <m:r>
              <m:rPr>
                <m:sty m:val="p"/>
              </m:rPr>
              <m:t>,</m:t>
            </m:r>
            <m:r>
              <m:t>1.44</m:t>
            </m:r>
          </m:e>
        </m:d>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27"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Guide: PMFs, PDFs, CDFs</w:t>
        </w:r>
      </w:hyperlink>
      <w:r>
        <w:t xml:space="preserve"> </w:t>
      </w:r>
      <w:r>
        <w:t xml:space="preserve">and</w:t>
      </w:r>
      <w:r>
        <w:t xml:space="preserve"> </w:t>
      </w:r>
      <w:hyperlink r:id="rId24">
        <w:r>
          <w:rPr>
            <w:rStyle w:val="Hyperlink"/>
          </w:rPr>
          <w:t xml:space="preserve">Overview: Probability distributions.</w:t>
        </w:r>
      </w:hyperlink>
      <w:r>
        <w:t xml:space="preserve"> </w:t>
      </w:r>
      <w:r>
        <w:t xml:space="preserve">Please click the relevant links to go to the guides.</w:t>
      </w:r>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2026-06-08T11:29:48Z</dcterms:created>
  <dcterms:modified xsi:type="dcterms:W3CDTF">2026-06-08T11:29:48Z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