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21"/>
    <w:bookmarkStart w:id="34"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A</m:t>
                        </m:r>
                        <m:r>
                          <m:rPr>
                            <m:sty m:val="p"/>
                          </m:rPr>
                          <m:t>∩</m:t>
                        </m:r>
                        <m:r>
                          <m:t>B</m:t>
                        </m:r>
                      </m:e>
                    </m:d>
                  </m:num>
                  <m:den>
                    <m:r>
                      <m:rPr>
                        <m:sty m:val="p"/>
                        <m:scr m:val="double-struck"/>
                      </m:rPr>
                      <m:t>P</m:t>
                    </m:r>
                    <m:d>
                      <m:dPr>
                        <m:begChr m:val="("/>
                        <m:sepChr m:val=""/>
                        <m:endChr m:val=")"/>
                        <m:grow/>
                      </m:dPr>
                      <m:e>
                        <m:r>
                          <m:t>B</m:t>
                        </m:r>
                      </m:e>
                    </m:d>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ty m:val="p"/>
                  <m:scr m:val="double-struck"/>
                </m:rPr>
                <m:t>P</m:t>
              </m:r>
              <m:d>
                <m:dPr>
                  <m:begChr m:val="("/>
                  <m:sepChr m:val=""/>
                  <m:endChr m:val=")"/>
                  <m:grow/>
                </m:dPr>
                <m:e>
                  <m:r>
                    <m:t>B</m:t>
                  </m:r>
                </m:e>
              </m:d>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ty m:val="p"/>
                  <m:scr m:val="double-struck"/>
                </m:rPr>
                <m:t>P</m:t>
              </m:r>
              <m:d>
                <m:dPr>
                  <m:begChr m:val="("/>
                  <m:sepChr m:val=""/>
                  <m:endChr m:val=")"/>
                  <m:grow/>
                </m:dPr>
                <m:e>
                  <m:r>
                    <m:t>A</m:t>
                  </m:r>
                  <m:r>
                    <m:rPr>
                      <m:sty m:val="p"/>
                    </m:rPr>
                    <m:t>∣</m:t>
                  </m:r>
                  <m:r>
                    <m:t>B</m:t>
                  </m:r>
                </m:e>
              </m:d>
            </m:oMath>
            <w:r>
              <w:t xml:space="preserve"> </w:t>
            </w:r>
            <w:r>
              <w:t xml:space="preserve">undefined.</w:t>
            </w:r>
          </w:p>
          <w:p/>
        </w:tc>
      </w:tr>
    </w:tbl>
    <w:p>
      <w:pPr>
        <w:pStyle w:val="BodyText"/>
      </w:pPr>
      <w:r>
        <w:t xml:space="preserve">Here’s an example of conditional probability. You can remember from</w:t>
      </w:r>
      <w:r>
        <w:t xml:space="preserve"> </w:t>
      </w:r>
      <w:hyperlink r:id="rId20">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rPr>
                        <m:sty m:val="p"/>
                        <m:scr m:val="double-struck"/>
                      </m:rPr>
                      <m:t>P</m:t>
                    </m:r>
                    <m:d>
                      <m:dPr>
                        <m:begChr m:val="("/>
                        <m:sepChr m:val=""/>
                        <m:endChr m:val=")"/>
                        <m:grow/>
                      </m:dPr>
                      <m:e>
                        <m:r>
                          <m:rPr>
                            <m:nor/>
                            <m:sty m:val="p"/>
                            <m:scr m:val="sans-serif"/>
                          </m:rPr>
                          <m:t>Even</m:t>
                        </m:r>
                        <m:r>
                          <m:rPr>
                            <m:sty m:val="p"/>
                          </m:rPr>
                          <m:t>∩</m:t>
                        </m:r>
                        <m:r>
                          <m:t>X</m:t>
                        </m:r>
                        <m:r>
                          <m:rPr>
                            <m:sty m:val="p"/>
                          </m:rPr>
                          <m:t>&gt;</m:t>
                        </m:r>
                        <m:r>
                          <m:t>2</m:t>
                        </m:r>
                      </m:e>
                    </m:d>
                  </m:num>
                  <m:den>
                    <m:r>
                      <m:rPr>
                        <m:sty m:val="p"/>
                        <m:scr m:val="double-struck"/>
                      </m:rPr>
                      <m:t>P</m:t>
                    </m:r>
                    <m:d>
                      <m:dPr>
                        <m:begChr m:val="("/>
                        <m:sepChr m:val=""/>
                        <m:endChr m:val=")"/>
                        <m:grow/>
                      </m:dPr>
                      <m:e>
                        <m:r>
                          <m:t>X</m:t>
                        </m:r>
                        <m:r>
                          <m:rPr>
                            <m:sty m:val="p"/>
                          </m:rPr>
                          <m:t>&gt;</m:t>
                        </m:r>
                        <m:r>
                          <m:t>2</m:t>
                        </m:r>
                      </m:e>
                    </m:d>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ty m:val="p"/>
                  <m:scr m:val="double-struck"/>
                </m:rPr>
                <m:t>P</m:t>
              </m:r>
              <m:d>
                <m:dPr>
                  <m:begChr m:val="("/>
                  <m:sepChr m:val=""/>
                  <m:endChr m:val=")"/>
                  <m:grow/>
                </m:dPr>
                <m:e>
                  <m:r>
                    <m:rPr>
                      <m:nor/>
                      <m:sty m:val="p"/>
                      <m:scr m:val="sans-serif"/>
                    </m:rPr>
                    <m:t>Even and </m:t>
                  </m:r>
                  <m:r>
                    <m:t>X</m:t>
                  </m:r>
                  <m:r>
                    <m:rPr>
                      <m:sty m:val="p"/>
                    </m:rPr>
                    <m:t>&gt;</m:t>
                  </m:r>
                  <m:r>
                    <m:t>2</m:t>
                  </m:r>
                </m:e>
              </m:d>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num>
                  <m:den>
                    <m:r>
                      <m:t>6</m:t>
                    </m:r>
                  </m:den>
                </m:f>
                <m:r>
                  <m:rPr>
                    <m:sty m:val="p"/>
                  </m:rPr>
                  <m:t>.</m:t>
                </m:r>
              </m:oMath>
            </m:oMathPara>
          </w:p>
          <w:p>
            <w:pPr>
              <w:pStyle w:val="Compact"/>
              <w:numPr>
                <w:ilvl w:val="0"/>
                <w:numId w:val="1003"/>
              </w:numPr>
            </w:pPr>
            <m:oMath>
              <m:r>
                <m:rPr>
                  <m:sty m:val="p"/>
                  <m:scr m:val="double-struck"/>
                </m:rPr>
                <m:t>P</m:t>
              </m:r>
              <m:d>
                <m:dPr>
                  <m:begChr m:val="("/>
                  <m:sepChr m:val=""/>
                  <m:endChr m:val=")"/>
                  <m:grow/>
                </m:dPr>
                <m:e>
                  <m:r>
                    <m:t>X</m:t>
                  </m:r>
                  <m:r>
                    <m:rPr>
                      <m:sty m:val="p"/>
                    </m:rPr>
                    <m:t>&gt;</m:t>
                  </m:r>
                  <m:r>
                    <m:t>2</m:t>
                  </m:r>
                </m:e>
              </m:d>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t>X</m:t>
                    </m:r>
                    <m:r>
                      <m:rPr>
                        <m:sty m:val="p"/>
                      </m:rPr>
                      <m:t>&gt;</m:t>
                    </m:r>
                    <m:r>
                      <m:t>2</m:t>
                    </m:r>
                  </m:e>
                </m:d>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num>
                  <m:den>
                    <m:r>
                      <m:rPr>
                        <m:sty m:val="p"/>
                        <m:scr m:val="double-struck"/>
                      </m:rPr>
                      <m:t>P</m:t>
                    </m:r>
                    <m:d>
                      <m:dPr>
                        <m:begChr m:val="("/>
                        <m:sepChr m:val=""/>
                        <m:endChr m:val=")"/>
                        <m:grow/>
                      </m:dPr>
                      <m:e>
                        <m:r>
                          <m:rPr>
                            <m:nor/>
                            <m:sty m:val="p"/>
                            <m:scr m:val="sans-serif"/>
                          </m:rPr>
                          <m:t>Face card</m:t>
                        </m:r>
                      </m:e>
                    </m:d>
                  </m:den>
                </m:f>
                <m:r>
                  <m:rPr>
                    <m:sty m:val="p"/>
                  </m:rPr>
                  <m:t>.</m:t>
                </m:r>
              </m:oMath>
            </m:oMathPara>
          </w:p>
          <w:p>
            <w:pPr>
              <w:pStyle w:val="FirstParagraph"/>
            </w:pPr>
            <w:r>
              <w:t xml:space="preserve">First, you can find the individual probabilities:</w:t>
            </w:r>
          </w:p>
          <w:p>
            <w:pPr>
              <w:pStyle w:val="Compact"/>
              <w:numPr>
                <w:ilvl w:val="0"/>
                <w:numId w:val="1004"/>
              </w:numPr>
            </w:pPr>
            <m:oMath>
              <m:r>
                <m:rPr>
                  <m:sty m:val="p"/>
                  <m:scr m:val="double-struck"/>
                </m:rPr>
                <m:t>P</m:t>
              </m:r>
              <m:d>
                <m:dPr>
                  <m:begChr m:val="("/>
                  <m:sepChr m:val=""/>
                  <m:endChr m:val=")"/>
                  <m:grow/>
                </m:dPr>
                <m:e>
                  <m:r>
                    <m:rPr>
                      <m:nor/>
                      <m:sty m:val="p"/>
                      <m:scr m:val="sans-serif"/>
                    </m:rPr>
                    <m:t>King and Face card</m:t>
                  </m:r>
                </m:e>
              </m:d>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num>
                  <m:den>
                    <m:r>
                      <m:t>52</m:t>
                    </m:r>
                  </m:den>
                </m:f>
                <m:r>
                  <m:rPr>
                    <m:sty m:val="p"/>
                  </m:rPr>
                  <m:t>.</m:t>
                </m:r>
              </m:oMath>
            </m:oMathPara>
          </w:p>
          <w:p>
            <w:pPr>
              <w:pStyle w:val="Compact"/>
              <w:numPr>
                <w:ilvl w:val="0"/>
                <w:numId w:val="1005"/>
              </w:numPr>
            </w:pPr>
            <m:oMath>
              <m:r>
                <m:rPr>
                  <m:sty m:val="p"/>
                  <m:scr m:val="double-struck"/>
                </m:rPr>
                <m:t>P</m:t>
              </m:r>
              <m:d>
                <m:dPr>
                  <m:begChr m:val="("/>
                  <m:sepChr m:val=""/>
                  <m:endChr m:val=")"/>
                  <m:grow/>
                </m:dPr>
                <m:e>
                  <m:r>
                    <m:rPr>
                      <m:nor/>
                      <m:sty m:val="p"/>
                      <m:scr m:val="sans-serif"/>
                    </m:rPr>
                    <m:t>Face card</m:t>
                  </m:r>
                </m:e>
              </m:d>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ty m:val="p"/>
                    <m:scr m:val="double-struck"/>
                  </m:rPr>
                  <m:t>P</m:t>
                </m:r>
                <m:d>
                  <m:dPr>
                    <m:begChr m:val="("/>
                    <m:sepChr m:val=""/>
                    <m:endChr m:val=")"/>
                    <m:grow/>
                  </m:dPr>
                  <m:e>
                    <m:r>
                      <m:rPr>
                        <m:nor/>
                        <m:sty m:val="p"/>
                        <m:scr m:val="sans-serif"/>
                      </m:rPr>
                      <m:t>Face card</m:t>
                    </m:r>
                  </m:e>
                </m:d>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34"/>
    <w:bookmarkStart w:id="42"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ty m:val="p"/>
                  <m:scr m:val="double-struck"/>
                </m:rPr>
                <m:t>P</m:t>
              </m:r>
              <m:d>
                <m:dPr>
                  <m:begChr m:val="("/>
                  <m:sepChr m:val=""/>
                  <m:endChr m:val=")"/>
                  <m:grow/>
                </m:dPr>
                <m:e>
                  <m:r>
                    <m:t>A</m:t>
                  </m:r>
                  <m:r>
                    <m:rPr>
                      <m:sty m:val="p"/>
                    </m:rPr>
                    <m:t>∩</m:t>
                  </m:r>
                  <m:r>
                    <m:t>B</m:t>
                  </m:r>
                </m:e>
              </m:d>
            </m:oMath>
            <w:r>
              <w:t xml:space="preserve">, is given by:</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e>
                </m:d>
                <m:r>
                  <m:rPr>
                    <m:sty m:val="p"/>
                    <m:scr m:val="double-struck"/>
                  </m:rPr>
                  <m:t>P</m:t>
                </m:r>
                <m:d>
                  <m:dPr>
                    <m:begChr m:val="("/>
                    <m:sepChr m:val=""/>
                    <m:endChr m:val=")"/>
                    <m:grow/>
                  </m:dPr>
                  <m:e>
                    <m:r>
                      <m:t>A</m:t>
                    </m:r>
                    <m:r>
                      <m:rPr>
                        <m:sty m:val="p"/>
                      </m:rPr>
                      <m:t>∣</m:t>
                    </m:r>
                    <m:r>
                      <m:t>B</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r>
                      <m:rPr>
                        <m:sty m:val="p"/>
                      </m:rPr>
                      <m:t>∩</m:t>
                    </m:r>
                    <m:r>
                      <m:t>A</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r>
                      <m:rPr>
                        <m:sty m:val="p"/>
                      </m:rPr>
                      <m:t>∣</m:t>
                    </m:r>
                    <m:r>
                      <m:t>A</m:t>
                    </m:r>
                  </m:e>
                </m:d>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r>
                      <m:rPr>
                        <m:sty m:val="p"/>
                      </m:rPr>
                      <m:t>∩</m:t>
                    </m:r>
                    <m:r>
                      <m:rPr>
                        <m:nor/>
                        <m:sty m:val="p"/>
                        <m:scr m:val="sans-serif"/>
                      </m:rPr>
                      <m:t>Second queen</m:t>
                    </m:r>
                  </m:e>
                </m:d>
                <m:r>
                  <m:rPr>
                    <m:sty m:val="p"/>
                  </m:rPr>
                  <m:t>=</m:t>
                </m:r>
                <m:r>
                  <m:rPr>
                    <m:sty m:val="p"/>
                    <m:scr m:val="double-struck"/>
                  </m:rPr>
                  <m:t>P</m:t>
                </m:r>
                <m:d>
                  <m:dPr>
                    <m:begChr m:val="("/>
                    <m:sepChr m:val=""/>
                    <m:endChr m:val=")"/>
                    <m:grow/>
                  </m:dPr>
                  <m:e>
                    <m:r>
                      <m:rPr>
                        <m:nor/>
                        <m:sty m:val="p"/>
                        <m:scr m:val="sans-serif"/>
                      </m:rPr>
                      <m:t>First queen</m:t>
                    </m:r>
                  </m:e>
                </m:d>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e>
                </m:d>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ty m:val="p"/>
                    <m:scr m:val="double-struck"/>
                  </m:rPr>
                  <m:t>P</m:t>
                </m:r>
                <m:d>
                  <m:dPr>
                    <m:begChr m:val="("/>
                    <m:sepChr m:val=""/>
                    <m:endChr m:val=")"/>
                    <m:grow/>
                  </m:dPr>
                  <m:e>
                    <m:r>
                      <m:rPr>
                        <m:nor/>
                        <m:sty m:val="p"/>
                        <m:scr m:val="sans-serif"/>
                      </m:rPr>
                      <m:t>Two queens</m:t>
                    </m:r>
                  </m:e>
                </m:d>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42"/>
    <w:bookmarkStart w:id="51"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oMath>
      </m:oMathPara>
    </w:p>
    <w:p>
      <w:pPr>
        <w:pStyle w:val="FirstParagraph"/>
      </w:pPr>
      <w:r>
        <w:t xml:space="preserve">This is equivalent to saying that</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ty m:val="p"/>
                  <m:scr m:val="double-struck"/>
                </m:rPr>
                <m:t>P</m:t>
              </m:r>
              <m:d>
                <m:dPr>
                  <m:begChr m:val="("/>
                  <m:sepChr m:val=""/>
                  <m:endChr m:val=")"/>
                  <m:grow/>
                </m:dPr>
                <m:e>
                  <m:r>
                    <m:t>A</m:t>
                  </m:r>
                </m:e>
              </m:d>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ty m:val="p"/>
                  <m:scr m:val="double-struck"/>
                </m:rPr>
                <m:t>P</m:t>
              </m:r>
              <m:d>
                <m:dPr>
                  <m:begChr m:val="("/>
                  <m:sepChr m:val=""/>
                  <m:endChr m:val=")"/>
                  <m:grow/>
                </m:dPr>
                <m:e>
                  <m:r>
                    <m:t>A</m:t>
                  </m:r>
                  <m:r>
                    <m:rPr>
                      <m:sty m:val="p"/>
                    </m:rPr>
                    <m:t>∣</m:t>
                  </m:r>
                  <m:r>
                    <m:t>B</m:t>
                  </m:r>
                </m:e>
              </m:d>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r>
                  <m:rPr>
                    <m:sty m:val="p"/>
                  </m:rPr>
                  <m:t>=</m:t>
                </m:r>
                <m:r>
                  <m:rPr>
                    <m:sty m:val="p"/>
                    <m:scr m:val="double-struck"/>
                  </m:rPr>
                  <m:t>P</m:t>
                </m:r>
                <m:d>
                  <m:dPr>
                    <m:begChr m:val="("/>
                    <m:sepChr m:val=""/>
                    <m:endChr m:val=")"/>
                    <m:grow/>
                  </m:dPr>
                  <m:e>
                    <m:r>
                      <m:t>A</m:t>
                    </m:r>
                  </m:e>
                </m:d>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ty m:val="p"/>
                  <m:scr m:val="double-struck"/>
                </m:rPr>
                <m:t>P</m:t>
              </m:r>
              <m:d>
                <m:dPr>
                  <m:begChr m:val="("/>
                  <m:sepChr m:val=""/>
                  <m:endChr m:val=")"/>
                  <m:grow/>
                </m:dPr>
                <m:e>
                  <m:r>
                    <m:rPr>
                      <m:nor/>
                      <m:sty m:val="p"/>
                      <m:scr m:val="sans-serif"/>
                    </m:rPr>
                    <m:t>King</m:t>
                  </m:r>
                </m:e>
              </m:d>
              <m:r>
                <m:rPr>
                  <m:sty m:val="p"/>
                </m:rPr>
                <m:t>=</m:t>
              </m:r>
              <m:r>
                <m:t>1</m:t>
              </m:r>
              <m:r>
                <m:rPr>
                  <m:sty m:val="p"/>
                </m:rPr>
                <m:t>/</m:t>
              </m:r>
              <m:r>
                <m:t>13</m:t>
              </m:r>
            </m:oMath>
            <w:r>
              <w:t xml:space="preserve">, it follows that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1</m:t>
                    </m:r>
                  </m:num>
                  <m:den>
                    <m:r>
                      <m:t>3</m:t>
                    </m:r>
                  </m:den>
                </m:f>
                <m:r>
                  <m:rPr>
                    <m:sty m:val="p"/>
                  </m:rPr>
                  <m:t>≠</m:t>
                </m:r>
                <m:f>
                  <m:fPr>
                    <m:type m:val="bar"/>
                  </m:fPr>
                  <m:num>
                    <m:r>
                      <m:t>1</m:t>
                    </m:r>
                  </m:num>
                  <m:den>
                    <m:r>
                      <m:t>13</m:t>
                    </m:r>
                  </m:den>
                </m:f>
                <m:r>
                  <m:rPr>
                    <m:sty m:val="p"/>
                  </m:rPr>
                  <m:t>=</m:t>
                </m:r>
                <m:r>
                  <m:rPr>
                    <m:sty m:val="p"/>
                    <m:scr m:val="double-struck"/>
                  </m:rPr>
                  <m:t>P</m:t>
                </m:r>
                <m:d>
                  <m:dPr>
                    <m:begChr m:val="("/>
                    <m:sepChr m:val=""/>
                    <m:endChr m:val=")"/>
                    <m:grow/>
                  </m:dPr>
                  <m:e>
                    <m:r>
                      <m:rPr>
                        <m:nor/>
                        <m:sty m:val="p"/>
                        <m:scr m:val="sans-serif"/>
                      </m:rPr>
                      <m:t>King</m:t>
                    </m:r>
                  </m:e>
                </m:d>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ty m:val="p"/>
                  <m:scr m:val="double-struck"/>
                </m:rPr>
                <m:t>P</m:t>
              </m:r>
              <m:d>
                <m:dPr>
                  <m:begChr m:val="("/>
                  <m:sepChr m:val=""/>
                  <m:endChr m:val=")"/>
                  <m:grow/>
                </m:dPr>
                <m:e>
                  <m:r>
                    <m:t>A</m:t>
                  </m:r>
                </m:e>
              </m:d>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ty m:val="p"/>
                  <m:scr m:val="double-struck"/>
                </m:rPr>
                <m:t>P</m:t>
              </m:r>
              <m:d>
                <m:dPr>
                  <m:begChr m:val="("/>
                  <m:sepChr m:val=""/>
                  <m:endChr m:val=")"/>
                  <m:grow/>
                </m:dPr>
                <m:e>
                  <m:r>
                    <m:t>B</m:t>
                  </m:r>
                </m:e>
              </m:d>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ty m:val="p"/>
                    <m:scr m:val="double-struck"/>
                  </m:rPr>
                  <m:t>P</m:t>
                </m:r>
                <m:d>
                  <m:dPr>
                    <m:begChr m:val="("/>
                    <m:sepChr m:val=""/>
                    <m:endChr m:val=")"/>
                    <m:grow/>
                  </m:dPr>
                  <m:e>
                    <m:r>
                      <m:t>B</m:t>
                    </m:r>
                  </m:e>
                </m:d>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ty m:val="p"/>
                  <m:scr m:val="double-struck"/>
                </m:rPr>
                <m:t>P</m:t>
              </m:r>
              <m:d>
                <m:dPr>
                  <m:begChr m:val="("/>
                  <m:sepChr m:val=""/>
                  <m:endChr m:val=")"/>
                  <m:grow/>
                </m:dPr>
                <m:e>
                  <m:r>
                    <m:t>A</m:t>
                  </m:r>
                  <m:r>
                    <m:rPr>
                      <m:sty m:val="p"/>
                    </m:rPr>
                    <m:t>∩</m:t>
                  </m:r>
                  <m:r>
                    <m:t>B</m:t>
                  </m:r>
                </m:e>
              </m:d>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51"/>
    <w:bookmarkStart w:id="52"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t>0</m:t>
              </m:r>
            </m:oMath>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52"/>
    <w:bookmarkStart w:id="53"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ty m:val="p"/>
            <m:scr m:val="double-struck"/>
          </m:rPr>
          <m:t>P</m:t>
        </m:r>
        <m:d>
          <m:dPr>
            <m:begChr m:val="("/>
            <m:sepChr m:val=""/>
            <m:endChr m:val=")"/>
            <m:grow/>
          </m:dPr>
          <m:e>
            <m:r>
              <m:t>A</m:t>
            </m:r>
          </m:e>
        </m:d>
        <m:r>
          <m:rPr>
            <m:sty m:val="p"/>
          </m:rPr>
          <m:t>=</m:t>
        </m:r>
        <m:r>
          <m:t>0.4</m:t>
        </m:r>
      </m:oMath>
      <w:r>
        <w:t xml:space="preserve">,</w:t>
      </w:r>
      <w:r>
        <w:t xml:space="preserve"> </w:t>
      </w:r>
      <m:oMath>
        <m:r>
          <m:rPr>
            <m:sty m:val="p"/>
            <m:scr m:val="double-struck"/>
          </m:rPr>
          <m:t>P</m:t>
        </m:r>
        <m:d>
          <m:dPr>
            <m:begChr m:val="("/>
            <m:sepChr m:val=""/>
            <m:endChr m:val=")"/>
            <m:grow/>
          </m:dPr>
          <m:e>
            <m:r>
              <m:t>B</m:t>
            </m:r>
          </m:e>
        </m:d>
        <m:r>
          <m:rPr>
            <m:sty m:val="p"/>
          </m:rPr>
          <m:t>=</m:t>
        </m:r>
        <m:r>
          <m:t>0.5</m:t>
        </m:r>
      </m:oMath>
      <w:r>
        <w:t xml:space="preserve">, and</w:t>
      </w:r>
      <w:r>
        <w:t xml:space="preserve"> </w:t>
      </w:r>
      <m:oMath>
        <m:r>
          <m:rPr>
            <m:sty m:val="p"/>
            <m:scr m:val="double-struck"/>
          </m:rPr>
          <m:t>P</m:t>
        </m:r>
        <m:d>
          <m:dPr>
            <m:begChr m:val="("/>
            <m:sepChr m:val=""/>
            <m:endChr m:val=")"/>
            <m:grow/>
          </m:dPr>
          <m:e>
            <m:r>
              <m:t>A</m:t>
            </m:r>
            <m:r>
              <m:rPr>
                <m:sty m:val="p"/>
              </m:rPr>
              <m:t>∩</m:t>
            </m:r>
            <m:r>
              <m:t>B</m:t>
            </m:r>
          </m:e>
        </m:d>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w:t>
      </w:r>
      <w:r>
        <w:t xml:space="preserve"> </w:t>
      </w:r>
      <w:r>
        <w:t xml:space="preserve">“rolling an even number”</w:t>
      </w:r>
      <w:r>
        <w:t xml:space="preserve">,</w:t>
      </w:r>
      <w:r>
        <w:t xml:space="preserve"> </w:t>
      </w:r>
      <m:oMath>
        <m:r>
          <m:t>B</m:t>
        </m:r>
      </m:oMath>
      <w:r>
        <w:t xml:space="preserve"> </w:t>
      </w:r>
      <w:r>
        <w:t xml:space="preserve">=</w:t>
      </w:r>
      <w:r>
        <w:t xml:space="preserve"> </w:t>
      </w:r>
      <w:r>
        <w:t xml:space="preserve">“rolling a number greater than 4”</w:t>
      </w:r>
      <w:r>
        <w:t xml:space="preserve"> </w:t>
      </w:r>
      <w:r>
        <w:t xml:space="preserve">(on a fair six-sided die)</w:t>
      </w:r>
    </w:p>
    <w:p>
      <w:pPr>
        <w:numPr>
          <w:ilvl w:val="0"/>
          <w:numId w:val="1018"/>
        </w:numPr>
      </w:pPr>
      <m:oMath>
        <m:r>
          <m:t>A</m:t>
        </m:r>
      </m:oMath>
      <w:r>
        <w:t xml:space="preserve"> </w:t>
      </w:r>
      <w:r>
        <w:t xml:space="preserve">=</w:t>
      </w:r>
      <w:r>
        <w:t xml:space="preserve"> </w:t>
      </w:r>
      <w:r>
        <w:t xml:space="preserve">“drawing a Queen”</w:t>
      </w:r>
      <w:r>
        <w:t xml:space="preserve">,</w:t>
      </w:r>
      <w:r>
        <w:t xml:space="preserve"> </w:t>
      </w:r>
      <m:oMath>
        <m:r>
          <m:t>B</m:t>
        </m:r>
      </m:oMath>
      <w:r>
        <w:t xml:space="preserve"> </w:t>
      </w:r>
      <w:r>
        <w:t xml:space="preserve">=</w:t>
      </w:r>
      <w:r>
        <w:t xml:space="preserve"> </w:t>
      </w:r>
      <w:r>
        <w:t xml:space="preserve">“drawing a face card”</w:t>
      </w:r>
      <w:r>
        <w:t xml:space="preserve"> </w:t>
      </w:r>
      <w:r>
        <w:t xml:space="preserve">(from a standard deck)</w:t>
      </w:r>
    </w:p>
    <w:bookmarkEnd w:id="53"/>
    <w:bookmarkStart w:id="58" w:name="further-reading"/>
    <w:p>
      <w:pPr>
        <w:pStyle w:val="Heading1"/>
      </w:pPr>
      <w:r>
        <w:t xml:space="preserve">Further reading</w:t>
      </w:r>
    </w:p>
    <w:p>
      <w:pPr>
        <w:pStyle w:val="FirstParagraph"/>
      </w:pPr>
      <w:hyperlink r:id="rId54">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55">
        <w:r>
          <w:rPr>
            <w:rStyle w:val="Hyperlink"/>
          </w:rPr>
          <w:t xml:space="preserve">please go to Guide: Law of total probability and Bayes’ theorem</w:t>
        </w:r>
      </w:hyperlink>
      <w:r>
        <w:t xml:space="preserve">.</w:t>
      </w:r>
    </w:p>
    <w:bookmarkStart w:id="57"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2026-06-08T11:36:45Z</dcterms:created>
  <dcterms:modified xsi:type="dcterms:W3CDTF">2026-06-08T11:36:45Z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FiguresPNG/conditionalprobability-image.png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