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25"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25"/>
    <w:bookmarkStart w:id="45"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d>
                <m:dPr>
                  <m:begChr m:val="("/>
                  <m:sepChr m:val=""/>
                  <m:endChr m:val=")"/>
                  <m:grow/>
                </m:dPr>
                <m:e>
                  <m:r>
                    <m:t>P</m:t>
                  </m:r>
                  <m:r>
                    <m:rPr>
                      <m:sty m:val="p"/>
                    </m:rPr>
                    <m:t>∨</m:t>
                  </m:r>
                  <m:r>
                    <m:t>Q</m:t>
                  </m:r>
                </m:e>
              </m:d>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d>
                <m:dPr>
                  <m:begChr m:val="("/>
                  <m:sepChr m:val=""/>
                  <m:endChr m:val=")"/>
                  <m:grow/>
                </m:dPr>
                <m:e>
                  <m:r>
                    <m:t>P</m:t>
                  </m:r>
                  <m:r>
                    <m:rPr>
                      <m:sty m:val="p"/>
                    </m:rPr>
                    <m:t>∨</m:t>
                  </m:r>
                  <m:r>
                    <m:t>Q</m:t>
                  </m:r>
                </m:e>
              </m:d>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45"/>
    <w:bookmarkStart w:id="61"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p>
            <w:pPr>
              <w:pStyle w:val="SourceCode"/>
            </w:pPr>
            <w:r>
              <w:rPr>
                <w:rStyle w:val="VerbatimChar"/>
              </w:rPr>
              <w:t xml:space="preserve">Warning: package 'knitr' was built under R version 4.5.2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d>
                <m:dPr>
                  <m:begChr m:val="("/>
                  <m:sepChr m:val=""/>
                  <m:endChr m:val=")"/>
                  <m:grow/>
                </m:dPr>
                <m:e>
                  <m:r>
                    <m:rPr>
                      <m:sty m:val="p"/>
                    </m:rPr>
                    <m:t>¬</m:t>
                  </m:r>
                  <m:r>
                    <m:t>P</m:t>
                  </m:r>
                </m:e>
              </m:d>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d>
                      <m:dPr>
                        <m:begChr m:val="("/>
                        <m:sepChr m:val=""/>
                        <m:endChr m:val=")"/>
                        <m:grow/>
                      </m:dPr>
                      <m:e>
                        <m:r>
                          <m:rPr>
                            <m:sty m:val="p"/>
                          </m:rPr>
                          <m:t>¬</m:t>
                        </m:r>
                        <m:r>
                          <m:t>P</m:t>
                        </m:r>
                      </m:e>
                    </m:d>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d>
                <m:dPr>
                  <m:begChr m:val="("/>
                  <m:sepChr m:val=""/>
                  <m:endChr m:val=")"/>
                  <m:grow/>
                </m:dPr>
                <m:e>
                  <m:r>
                    <m:t>P</m:t>
                  </m:r>
                  <m:r>
                    <m:rPr>
                      <m:sty m:val="p"/>
                    </m:rPr>
                    <m:t>∧</m:t>
                  </m:r>
                  <m:r>
                    <m:t>Q</m:t>
                  </m:r>
                </m:e>
              </m:d>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d>
                      <m:dPr>
                        <m:begChr m:val="("/>
                        <m:sepChr m:val=""/>
                        <m:endChr m:val=")"/>
                        <m:grow/>
                      </m:dPr>
                      <m:e>
                        <m:r>
                          <m:t>P</m:t>
                        </m:r>
                        <m:r>
                          <m:rPr>
                            <m:sty m:val="p"/>
                          </m:rPr>
                          <m:t>∧</m:t>
                        </m:r>
                        <m:r>
                          <m:t>Q</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d>
                <m:dPr>
                  <m:begChr m:val="("/>
                  <m:sepChr m:val=""/>
                  <m:endChr m:val=")"/>
                  <m:grow/>
                </m:dPr>
                <m:e>
                  <m:r>
                    <m:rPr>
                      <m:sty m:val="p"/>
                    </m:rPr>
                    <m:t>¬</m:t>
                  </m:r>
                  <m:r>
                    <m:t>P</m:t>
                  </m:r>
                </m:e>
              </m:d>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d>
                <m:dPr>
                  <m:begChr m:val="("/>
                  <m:sepChr m:val=""/>
                  <m:endChr m:val=")"/>
                  <m:grow/>
                </m:dPr>
                <m:e>
                  <m:r>
                    <m:t>P</m:t>
                  </m:r>
                  <m:r>
                    <m:rPr>
                      <m:sty m:val="p"/>
                    </m:rPr>
                    <m:t>∧</m:t>
                  </m:r>
                  <m:r>
                    <m:t>Q</m:t>
                  </m:r>
                </m:e>
              </m:d>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w:t>
            </w:r>
            <w:r>
              <w:t xml:space="preserve"> </w:t>
            </w:r>
            <w:r>
              <w:t xml:space="preserve">“If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d>
                <m:dPr>
                  <m:begChr m:val="("/>
                  <m:sepChr m:val=""/>
                  <m:endChr m:val=")"/>
                  <m:grow/>
                </m:dPr>
                <m:e>
                  <m:r>
                    <m:t>Q</m:t>
                  </m:r>
                  <m:r>
                    <m:rPr>
                      <m:sty m:val="p"/>
                    </m:rPr>
                    <m:t>∧</m:t>
                  </m:r>
                  <m:r>
                    <m:t>R</m:t>
                  </m:r>
                </m:e>
              </m:d>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d>
                      <m:dPr>
                        <m:begChr m:val="("/>
                        <m:sepChr m:val=""/>
                        <m:endChr m:val=")"/>
                        <m:grow/>
                      </m:dPr>
                      <m:e>
                        <m:r>
                          <m:t>Q</m:t>
                        </m:r>
                        <m:r>
                          <m:rPr>
                            <m:sty m:val="p"/>
                          </m:rPr>
                          <m:t>∧</m:t>
                        </m:r>
                        <m:r>
                          <m:t>R</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61"/>
    <w:bookmarkStart w:id="72"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d>
          <m:dPr>
            <m:begChr m:val="("/>
            <m:sepChr m:val=""/>
            <m:endChr m:val=")"/>
            <m:grow/>
          </m:dPr>
          <m:e>
            <m:r>
              <m:rPr>
                <m:sty m:val="p"/>
              </m:rPr>
              <m:t>¬</m:t>
            </m:r>
            <m:r>
              <m:t>P</m:t>
            </m:r>
          </m:e>
        </m:d>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d>
          <m:dPr>
            <m:begChr m:val="("/>
            <m:sepChr m:val=""/>
            <m:endChr m:val=")"/>
            <m:grow/>
          </m:dPr>
          <m:e>
            <m:r>
              <m:rPr>
                <m:sty m:val="p"/>
              </m:rPr>
              <m:t>¬</m:t>
            </m:r>
            <m:r>
              <m:t>P</m:t>
            </m:r>
          </m:e>
        </m:d>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d>
                      <m:dPr>
                        <m:begChr m:val="("/>
                        <m:sepChr m:val=""/>
                        <m:endChr m:val=")"/>
                        <m:grow/>
                      </m:dPr>
                      <m:e>
                        <m:r>
                          <m:rPr>
                            <m:sty m:val="p"/>
                          </m:rPr>
                          <m:t>¬</m:t>
                        </m:r>
                        <m:r>
                          <m:t>Q</m:t>
                        </m:r>
                      </m:e>
                    </m:d>
                    <m:r>
                      <m:rPr>
                        <m:sty m:val="p"/>
                      </m:rPr>
                      <m:t>→</m:t>
                    </m:r>
                    <m:d>
                      <m:dPr>
                        <m:begChr m:val="("/>
                        <m:sepChr m:val=""/>
                        <m:endChr m:val=")"/>
                        <m:grow/>
                      </m:dPr>
                      <m:e>
                        <m:r>
                          <m:rPr>
                            <m:sty m:val="p"/>
                          </m:rPr>
                          <m:t>¬</m:t>
                        </m:r>
                        <m:r>
                          <m:t>P</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72"/>
    <w:bookmarkStart w:id="73"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d>
          <m:dPr>
            <m:begChr m:val="("/>
            <m:sepChr m:val=""/>
            <m:endChr m:val=")"/>
            <m:grow/>
          </m:dPr>
          <m:e>
            <m:r>
              <m:rPr>
                <m:sty m:val="p"/>
              </m:rPr>
              <m:t>¬</m:t>
            </m:r>
            <m:r>
              <m:t>P</m:t>
            </m:r>
          </m:e>
        </m:d>
        <m:r>
          <m:rPr>
            <m:sty m:val="p"/>
          </m:rPr>
          <m:t>∨</m:t>
        </m:r>
        <m:r>
          <m:t>Q</m:t>
        </m:r>
      </m:oMath>
      <w:r>
        <w:t xml:space="preserve">?</w:t>
      </w:r>
    </w:p>
    <w:bookmarkEnd w:id="73"/>
    <w:bookmarkStart w:id="77" w:name="further-reading"/>
    <w:p>
      <w:pPr>
        <w:pStyle w:val="Heading1"/>
      </w:pPr>
      <w:r>
        <w:t xml:space="preserve">Further reading</w:t>
      </w:r>
    </w:p>
    <w:p>
      <w:pPr>
        <w:pStyle w:val="FirstParagraph"/>
      </w:pPr>
      <w:hyperlink r:id="rId74">
        <w:r>
          <w:rPr>
            <w:rStyle w:val="Hyperlink"/>
          </w:rPr>
          <w:t xml:space="preserve">For more questions on the subject, please go to Questions: Introduction to logic.</w:t>
        </w:r>
      </w:hyperlink>
    </w:p>
    <w:bookmarkStart w:id="76"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hyperlink" Id="rId74" Target="../questions/qs-introtologicmaths.qmd" TargetMode="External" /><Relationship Type="http://schemas.openxmlformats.org/officeDocument/2006/relationships/hyperlink" Id="rId7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introtologicmaths.qmd" TargetMode="External" /><Relationship Type="http://schemas.openxmlformats.org/officeDocument/2006/relationships/hyperlink" Id="rId7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2026-06-08T11:32:21Z</dcterms:created>
  <dcterms:modified xsi:type="dcterms:W3CDTF">2026-06-08T11:32:21Z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