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Override PartName="/word/media/rId33.png" ContentType="image/png"/>
  <Override PartName="/word/media/rId40.png" ContentType="image/png"/>
  <Override PartName="/word/media/rId2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rearranging equations</w:t>
        </w:r>
      </w:hyperlink>
      <w:r>
        <w:rPr>
          <w:i/>
          <w:iCs/>
        </w:rPr>
        <w:t xml:space="preserve">.</w:t>
      </w:r>
    </w:p>
    <w:bookmarkStart w:id="24"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24"/>
    <w:bookmarkStart w:id="44"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28" w:name="fig-1"/>
          <w:p>
            <w:pPr>
              <w:pStyle w:val="Compact"/>
              <w:jc w:val="center"/>
            </w:pPr>
            <w:r>
              <w:drawing>
                <wp:inline>
                  <wp:extent cx="5755521" cy="2238597"/>
                  <wp:effectExtent b="0" l="0" r="0" t="0"/>
                  <wp:docPr descr="" title="" id="26" name="Picture"/>
                  <a:graphic>
                    <a:graphicData uri="http://schemas.openxmlformats.org/drawingml/2006/picture">
                      <pic:pic>
                        <pic:nvPicPr>
                          <pic:cNvPr descr="./FiguresPNG/introtosimeqs-fig1-1.png" id="27" name="Picture"/>
                          <pic:cNvPicPr>
                            <a:picLocks noChangeArrowheads="1" noChangeAspect="1"/>
                          </pic:cNvPicPr>
                        </pic:nvPicPr>
                        <pic:blipFill>
                          <a:blip r:embed="rId25"/>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28"/>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2"/>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2-2.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32"/>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3"/>
          <w:p>
            <w:pPr>
              <w:pStyle w:val="Compact"/>
              <w:jc w:val="center"/>
            </w:pPr>
            <w:r>
              <w:drawing>
                <wp:inline>
                  <wp:extent cx="5755521" cy="2238597"/>
                  <wp:effectExtent b="0" l="0" r="0" t="0"/>
                  <wp:docPr descr="" title="" id="34" name="Picture"/>
                  <a:graphic>
                    <a:graphicData uri="http://schemas.openxmlformats.org/drawingml/2006/picture">
                      <pic:pic>
                        <pic:nvPicPr>
                          <pic:cNvPr descr="./FiguresPNG/introtosimeqs-fig3-3.png" id="35" name="Picture"/>
                          <pic:cNvPicPr>
                            <a:picLocks noChangeArrowheads="1" noChangeAspect="1"/>
                          </pic:cNvPicPr>
                        </pic:nvPicPr>
                        <pic:blipFill>
                          <a:blip r:embed="rId3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36"/>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755521" cy="2238597"/>
                  <wp:effectExtent b="0" l="0" r="0" t="0"/>
                  <wp:docPr descr="" title="" id="41" name="Picture"/>
                  <a:graphic>
                    <a:graphicData uri="http://schemas.openxmlformats.org/drawingml/2006/picture">
                      <pic:pic>
                        <pic:nvPicPr>
                          <pic:cNvPr descr="./FiguresPNG/introtosimeqs-fig4-4.png" id="42" name="Picture"/>
                          <pic:cNvPicPr>
                            <a:picLocks noChangeArrowheads="1" noChangeAspect="1"/>
                          </pic:cNvPicPr>
                        </pic:nvPicPr>
                        <pic:blipFill>
                          <a:blip r:embed="rId40"/>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43"/>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44"/>
    <w:bookmarkStart w:id="50"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45">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d>
                  <m:dPr>
                    <m:begChr m:val="("/>
                    <m:sepChr m:val=""/>
                    <m:endChr m:val=")"/>
                    <m:grow/>
                  </m:dPr>
                  <m:e>
                    <m:r>
                      <m:t>5</m:t>
                    </m:r>
                    <m:r>
                      <m:rPr>
                        <m:sty m:val="p"/>
                      </m:rPr>
                      <m:t>−</m:t>
                    </m:r>
                    <m:r>
                      <m:t>2</m:t>
                    </m:r>
                    <m:r>
                      <m:t>y</m:t>
                    </m:r>
                  </m:e>
                </m:d>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d>
                  <m:dPr>
                    <m:begChr m:val="("/>
                    <m:sepChr m:val=""/>
                    <m:endChr m:val=")"/>
                    <m:grow/>
                  </m:dPr>
                  <m:e>
                    <m:r>
                      <m:t>4</m:t>
                    </m:r>
                    <m:r>
                      <m:t>x</m:t>
                    </m:r>
                    <m:r>
                      <m:rPr>
                        <m:sty m:val="p"/>
                      </m:rPr>
                      <m:t>−</m:t>
                    </m:r>
                    <m:r>
                      <m:t>5</m:t>
                    </m:r>
                  </m:e>
                </m:d>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d>
                  <m:dPr>
                    <m:begChr m:val="("/>
                    <m:sepChr m:val=""/>
                    <m:endChr m:val=")"/>
                    <m:grow/>
                  </m:dPr>
                  <m:e>
                    <m:r>
                      <m:t>11</m:t>
                    </m:r>
                    <m:r>
                      <m:rPr>
                        <m:sty m:val="p"/>
                      </m:rPr>
                      <m:t>/</m:t>
                    </m:r>
                    <m:r>
                      <m:t>7</m:t>
                    </m:r>
                  </m:e>
                </m:d>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50"/>
    <w:bookmarkStart w:id="57"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d>
                  <m:dPr>
                    <m:begChr m:val="("/>
                    <m:sepChr m:val=""/>
                    <m:endChr m:val=")"/>
                    <m:grow/>
                  </m:dPr>
                  <m:e>
                    <m:r>
                      <m:t>3</m:t>
                    </m:r>
                    <m:r>
                      <m:t>x</m:t>
                    </m:r>
                    <m:r>
                      <m:rPr>
                        <m:sty m:val="p"/>
                      </m:rPr>
                      <m:t>+</m:t>
                    </m:r>
                    <m:r>
                      <m:t>6</m:t>
                    </m:r>
                    <m:r>
                      <m:t>y</m:t>
                    </m:r>
                  </m:e>
                </m:d>
                <m:r>
                  <m:rPr>
                    <m:sty m:val="p"/>
                  </m:rPr>
                  <m:t>−</m:t>
                </m:r>
                <m:d>
                  <m:dPr>
                    <m:begChr m:val="("/>
                    <m:sepChr m:val=""/>
                    <m:endChr m:val=")"/>
                    <m:grow/>
                  </m:dPr>
                  <m:e>
                    <m:r>
                      <m:t>3</m:t>
                    </m:r>
                    <m:r>
                      <m:t>x</m:t>
                    </m:r>
                    <m:r>
                      <m:rPr>
                        <m:sty m:val="p"/>
                      </m:rPr>
                      <m:t>+</m:t>
                    </m:r>
                    <m:r>
                      <m:t>3</m:t>
                    </m:r>
                    <m:r>
                      <m:t>y</m:t>
                    </m:r>
                  </m:e>
                </m:d>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d>
                  <m:dPr>
                    <m:begChr m:val="("/>
                    <m:sepChr m:val=""/>
                    <m:endChr m:val=")"/>
                    <m:grow/>
                  </m:dPr>
                  <m:e>
                    <m:r>
                      <m:t>6</m:t>
                    </m:r>
                    <m:r>
                      <m:t>x</m:t>
                    </m:r>
                    <m:r>
                      <m:rPr>
                        <m:sty m:val="p"/>
                      </m:rPr>
                      <m:t>−</m:t>
                    </m:r>
                    <m:r>
                      <m:t>3</m:t>
                    </m:r>
                    <m:r>
                      <m:t>y</m:t>
                    </m:r>
                  </m:e>
                </m:d>
                <m:r>
                  <m:rPr>
                    <m:sty m:val="p"/>
                  </m:rPr>
                  <m:t>+</m:t>
                </m:r>
                <m:d>
                  <m:dPr>
                    <m:begChr m:val="("/>
                    <m:sepChr m:val=""/>
                    <m:endChr m:val=")"/>
                    <m:grow/>
                  </m:dPr>
                  <m:e>
                    <m:r>
                      <m:t>4</m:t>
                    </m:r>
                    <m:r>
                      <m:t>x</m:t>
                    </m:r>
                    <m:r>
                      <m:rPr>
                        <m:sty m:val="p"/>
                      </m:rPr>
                      <m:t>+</m:t>
                    </m:r>
                    <m:r>
                      <m:t>3</m:t>
                    </m:r>
                    <m:r>
                      <m:t>y</m:t>
                    </m:r>
                  </m:e>
                </m:d>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d>
                  <m:dPr>
                    <m:begChr m:val="("/>
                    <m:sepChr m:val=""/>
                    <m:endChr m:val=")"/>
                    <m:grow/>
                  </m:dPr>
                  <m:e>
                    <m:r>
                      <m:t>2.1</m:t>
                    </m:r>
                  </m:e>
                </m:d>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57"/>
    <w:bookmarkStart w:id="58"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Introduction to simultaneous equations.</w:t>
        </w:r>
      </w:hyperlink>
    </w:p>
    <w:bookmarkStart w:id="61"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2026-06-08T11:32:36Z</dcterms:created>
  <dcterms:modified xsi:type="dcterms:W3CDTF">2026-06-08T11:32:36Z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FiguresPNG/introtosimeqs-image.png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