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88.png" ContentType="image/png"/>
  <Override PartName="/word/media/rId97.png" ContentType="image/png"/>
  <Override PartName="/word/media/rId31.png" ContentType="image/png"/>
  <Override PartName="/word/media/rId36.png" ContentType="image/png"/>
  <Override PartName="/word/media/rId41.png" ContentType="image/png"/>
  <Override PartName="/word/media/rId48.png" ContentType="image/png"/>
  <Override PartName="/word/media/rId59.png" ContentType="image/png"/>
  <Override PartName="/word/media/rId69.png" ContentType="image/png"/>
  <Override PartName="/word/media/rId77.png" ContentType="image/png"/>
  <Override PartName="/word/media/rId82.png" ContentType="image/png"/>
  <Override PartName="/word/media/rId72.png" ContentType="image/png"/>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Latin Squares and the Mathematics of Sudoku</w:t>
      </w:r>
    </w:p>
    <w:p>
      <w:pPr>
        <w:pStyle w:val="Author"/>
      </w:pPr>
      <w:r>
        <w:t xml:space="preserve">Holly Goldsmith</w:t>
      </w:r>
    </w:p>
    <w:p>
      <w:pPr>
        <w:pStyle w:val="AbstractTitle"/>
      </w:pPr>
      <w:r>
        <w:t xml:space="preserve">Summary</w:t>
      </w:r>
    </w:p>
    <w:p>
      <w:pPr>
        <w:pStyle w:val="Abstract"/>
      </w:pPr>
      <w:r>
        <w:t xml:space="preserve">Latin squares—grids filled with symbols so that each appears exactly once in every row and column—have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w:t>
      </w:r>
    </w:p>
    <w:bookmarkStart w:id="56" w:name="Xd7d3726fbab4cd8ca6c9ed1c8a4be379d18c47e"/>
    <w:p>
      <w:pPr>
        <w:pStyle w:val="Heading1"/>
      </w:pPr>
      <w:r>
        <w:t xml:space="preserve">Latin Squares: what are they, and why do people care?</w:t>
      </w:r>
    </w:p>
    <w:p>
      <w:pPr>
        <w:pStyle w:val="FirstParagraph"/>
      </w:pPr>
      <w:r>
        <w:t xml:space="preserve">Latin squares have a rich history in mathematics. They are often related to the construction of magic squares, the earliest known being in medieval Islamic mathematics. The first published example of a Latin square was given by the Korean mathematician Choi Seok-jeong (1646–1715), and was a</w:t>
      </w:r>
      <w:r>
        <w:t xml:space="preserve"> </w:t>
      </w:r>
      <m:oMath>
        <m:r>
          <m:t>9</m:t>
        </m:r>
        <m:r>
          <m:rPr>
            <m:sty m:val="p"/>
          </m:rPr>
          <m:t>×</m:t>
        </m:r>
        <m:r>
          <m:t>9</m:t>
        </m:r>
      </m:oMath>
      <w:r>
        <w:t xml:space="preserve"> </w:t>
      </w:r>
      <w:r>
        <w:t xml:space="preserve">example used to construct a magic square. They were introduced to Western mathematicians by Jacques Ozanam (1640–1718), where they were expressed in terms of a problem about playing cards. Later, the Swiss mathematician Leonhard Euler (1707–1783) considered the so-called</w:t>
      </w:r>
      <w:r>
        <w:t xml:space="preserve"> </w:t>
      </w:r>
      <w:r>
        <w:t xml:space="preserve">“36 Officers’ Problem”</w:t>
      </w:r>
      <w:r>
        <w:t xml:space="preserve"> </w:t>
      </w:r>
      <w:r>
        <w:t xml:space="preserve">and began studying the general theory of Latin squares.</w:t>
      </w:r>
    </w:p>
    <w:p>
      <w:pPr>
        <w:pStyle w:val="BodyText"/>
      </w:pPr>
      <w:r>
        <w:t xml:space="preserve">But what actually is a Latin square?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24" name="Picture"/>
            <a:graphic>
              <a:graphicData uri="http://schemas.openxmlformats.org/drawingml/2006/picture">
                <pic:pic>
                  <pic:nvPicPr>
                    <pic:cNvPr descr="./FiguresPNG/latinsquares_sudoku-fig1.png" id="25" name="Picture"/>
                    <pic:cNvPicPr>
                      <a:picLocks noChangeArrowheads="1" noChangeAspect="1"/>
                    </pic:cNvPicPr>
                  </pic:nvPicPr>
                  <pic:blipFill>
                    <a:blip r:embed="rId23"/>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32" name="Picture"/>
            <a:graphic>
              <a:graphicData uri="http://schemas.openxmlformats.org/drawingml/2006/picture">
                <pic:pic>
                  <pic:nvPicPr>
                    <pic:cNvPr descr="./FiguresPNG/latinsquares_sudoku-fig2.png" id="33" name="Picture"/>
                    <pic:cNvPicPr>
                      <a:picLocks noChangeArrowheads="1" noChangeAspect="1"/>
                    </pic:cNvPicPr>
                  </pic:nvPicPr>
                  <pic:blipFill>
                    <a:blip r:embed="rId31"/>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37" name="Picture"/>
            <a:graphic>
              <a:graphicData uri="http://schemas.openxmlformats.org/drawingml/2006/picture">
                <pic:pic>
                  <pic:nvPicPr>
                    <pic:cNvPr descr="./FiguresPNG/latinsquares_sudoku-fig3.png" id="38" name="Picture"/>
                    <pic:cNvPicPr>
                      <a:picLocks noChangeArrowheads="1" noChangeAspect="1"/>
                    </pic:cNvPicPr>
                  </pic:nvPicPr>
                  <pic:blipFill>
                    <a:blip r:embed="rId36"/>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55"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42" name="Picture"/>
            <a:graphic>
              <a:graphicData uri="http://schemas.openxmlformats.org/drawingml/2006/picture">
                <pic:pic>
                  <pic:nvPicPr>
                    <pic:cNvPr descr="./FiguresPNG/latinsquares_sudoku-fig4.png" id="43" name="Picture"/>
                    <pic:cNvPicPr>
                      <a:picLocks noChangeArrowheads="1" noChangeAspect="1"/>
                    </pic:cNvPicPr>
                  </pic:nvPicPr>
                  <pic:blipFill>
                    <a:blip r:embed="rId41"/>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d>
                <m:dPr>
                  <m:begChr m:val="("/>
                  <m:sepChr m:val=""/>
                  <m:endChr m:val=")"/>
                  <m:grow/>
                </m:dPr>
                <m:e>
                  <m:sSub>
                    <m:e>
                      <m:r>
                        <m:t>a</m:t>
                      </m:r>
                    </m:e>
                    <m:sub>
                      <m:r>
                        <m:t>i</m:t>
                      </m:r>
                      <m:r>
                        <m:t>j</m:t>
                      </m:r>
                    </m:sub>
                  </m:sSub>
                </m:e>
              </m:d>
            </m:oMath>
            <w:r>
              <w:t xml:space="preserve"> </w:t>
            </w:r>
            <w:r>
              <w:t xml:space="preserve">and</w:t>
            </w:r>
            <w:r>
              <w:t xml:space="preserve"> </w:t>
            </w:r>
            <m:oMath>
              <m:r>
                <m:t>B</m:t>
              </m:r>
              <m:r>
                <m:rPr>
                  <m:sty m:val="p"/>
                </m:rPr>
                <m:t>=</m:t>
              </m:r>
              <m:d>
                <m:dPr>
                  <m:begChr m:val="("/>
                  <m:sepChr m:val=""/>
                  <m:endChr m:val=")"/>
                  <m:grow/>
                </m:dPr>
                <m:e>
                  <m:sSub>
                    <m:e>
                      <m:r>
                        <m:t>b</m:t>
                      </m:r>
                    </m:e>
                    <m:sub>
                      <m:r>
                        <m:t>i</m:t>
                      </m:r>
                      <m:r>
                        <m:t>j</m:t>
                      </m:r>
                    </m:sub>
                  </m:sSub>
                </m:e>
              </m:d>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d>
                  <m:dPr>
                    <m:begChr m:val="("/>
                    <m:sepChr m:val=""/>
                    <m:endChr m:val=")"/>
                    <m:grow/>
                  </m:dPr>
                  <m:e>
                    <m:sSub>
                      <m:e>
                        <m:r>
                          <m:t>a</m:t>
                        </m:r>
                      </m:e>
                      <m:sub>
                        <m:r>
                          <m:t>i</m:t>
                        </m:r>
                        <m:r>
                          <m:t>j</m:t>
                        </m:r>
                      </m:sub>
                    </m:sSub>
                    <m:r>
                      <m:rPr>
                        <m:sty m:val="p"/>
                      </m:rPr>
                      <m:t>,</m:t>
                    </m:r>
                    <m:sSub>
                      <m:e>
                        <m:r>
                          <m:t>b</m:t>
                        </m:r>
                      </m:e>
                      <m:sub>
                        <m:r>
                          <m:t>i</m:t>
                        </m:r>
                        <m:r>
                          <m:t>j</m:t>
                        </m:r>
                      </m:sub>
                    </m:sSub>
                  </m:e>
                </m:d>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49" name="Picture"/>
            <a:graphic>
              <a:graphicData uri="http://schemas.openxmlformats.org/drawingml/2006/picture">
                <pic:pic>
                  <pic:nvPicPr>
                    <pic:cNvPr descr="./FiguresPNG/latinsquares_sudoku-fig5.png" id="50" name="Picture"/>
                    <pic:cNvPicPr>
                      <a:picLocks noChangeArrowheads="1" noChangeAspect="1"/>
                    </pic:cNvPicPr>
                  </pic:nvPicPr>
                  <pic:blipFill>
                    <a:blip r:embed="rId48"/>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d>
                <m:dPr>
                  <m:begChr m:val="("/>
                  <m:sepChr m:val=""/>
                  <m:endChr m:val=")"/>
                  <m:grow/>
                </m:dPr>
                <m:e>
                  <m:sSub>
                    <m:e>
                      <m:r>
                        <m:t>A</m:t>
                      </m:r>
                    </m:e>
                    <m:sub>
                      <m:r>
                        <m:t>i</m:t>
                      </m:r>
                    </m:sub>
                  </m:sSub>
                  <m:r>
                    <m:rPr>
                      <m:sty m:val="p"/>
                    </m:rPr>
                    <m:t>,</m:t>
                  </m:r>
                  <m:sSub>
                    <m:e>
                      <m:r>
                        <m:t>A</m:t>
                      </m:r>
                    </m:e>
                    <m:sub>
                      <m:r>
                        <m:t>j</m:t>
                      </m:r>
                    </m:sub>
                  </m:sSub>
                </m:e>
              </m:d>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55"/>
    <w:bookmarkEnd w:id="56"/>
    <w:bookmarkStart w:id="105" w:name="sudoku-and-latin-squares"/>
    <w:p>
      <w:pPr>
        <w:pStyle w:val="Heading1"/>
      </w:pPr>
      <w:r>
        <w:t xml:space="preserve">Sudoku and Latin Squares</w:t>
      </w:r>
    </w:p>
    <w:bookmarkStart w:id="66"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60" name="Picture"/>
            <a:graphic>
              <a:graphicData uri="http://schemas.openxmlformats.org/drawingml/2006/picture">
                <pic:pic>
                  <pic:nvPicPr>
                    <pic:cNvPr descr="./FiguresPNG/latinsquares_sudoku-fig6.png" id="61" name="Picture"/>
                    <pic:cNvPicPr>
                      <a:picLocks noChangeArrowheads="1" noChangeAspect="1"/>
                    </pic:cNvPicPr>
                  </pic:nvPicPr>
                  <pic:blipFill>
                    <a:blip r:embed="rId59"/>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66"/>
    <w:bookmarkStart w:id="104"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(Taalman 2007)</w:t>
            </w:r>
          </w:p>
          <w:p/>
        </w:tc>
      </w:tr>
    </w:tbl>
    <w:p>
      <w:pPr>
        <w:pStyle w:val="CaptionedFigure"/>
      </w:pPr>
      <w:r>
        <w:drawing>
          <wp:inline>
            <wp:extent cx="5943600" cy="2971800"/>
            <wp:effectExtent b="0" l="0" r="0" t="0"/>
            <wp:docPr descr="A Shidoku puzzle with its corresponding board." title="" id="70" name="Picture"/>
            <a:graphic>
              <a:graphicData uri="http://schemas.openxmlformats.org/drawingml/2006/picture">
                <pic:pic>
                  <pic:nvPicPr>
                    <pic:cNvPr descr="./FiguresPNG/latinsquares_sudoku-fig7.png" id="71" name="Picture"/>
                    <pic:cNvPicPr>
                      <a:picLocks noChangeArrowheads="1" noChangeAspect="1"/>
                    </pic:cNvPicPr>
                  </pic:nvPicPr>
                  <pic:blipFill>
                    <a:blip r:embed="rId6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92"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(Felgenhauer and Jarvis 2005)</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85"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important.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78" name="Picture"/>
            <a:graphic>
              <a:graphicData uri="http://schemas.openxmlformats.org/drawingml/2006/picture">
                <pic:pic>
                  <pic:nvPicPr>
                    <pic:cNvPr descr="./FiguresPNG/latinsquares_sudoku-fig8.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83" name="Picture"/>
            <a:graphic>
              <a:graphicData uri="http://schemas.openxmlformats.org/drawingml/2006/picture">
                <pic:pic>
                  <pic:nvPicPr>
                    <pic:cNvPr descr="./FiguresPNG/latinsquares_sudoku-fig9.png" id="84" name="Picture"/>
                    <pic:cNvPicPr>
                      <a:picLocks noChangeArrowheads="1" noChangeAspect="1"/>
                    </pic:cNvPicPr>
                  </pic:nvPicPr>
                  <pic:blipFill>
                    <a:blip r:embed="rId82"/>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85"/>
    <w:bookmarkStart w:id="91"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89" name="Picture"/>
            <a:graphic>
              <a:graphicData uri="http://schemas.openxmlformats.org/drawingml/2006/picture">
                <pic:pic>
                  <pic:nvPicPr>
                    <pic:cNvPr descr="./FiguresPNG/latinsquares_sudoku-fig10.png" id="90" name="Picture"/>
                    <pic:cNvPicPr>
                      <a:picLocks noChangeArrowheads="1" noChangeAspect="1"/>
                    </pic:cNvPicPr>
                  </pic:nvPicPr>
                  <pic:blipFill>
                    <a:blip r:embed="rId88"/>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91"/>
    <w:bookmarkEnd w:id="92"/>
    <w:bookmarkStart w:id="94"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(Russell and Jarvis 2006)</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93">
        <w:r>
          <w:rPr>
            <w:rStyle w:val="Hyperlink"/>
          </w:rPr>
          <w:t xml:space="preserve">Guide: Introduction to Groups</w:t>
        </w:r>
      </w:hyperlink>
      <w:r>
        <w:t xml:space="preserve"> </w:t>
      </w:r>
      <w:r>
        <w:t xml:space="preserve">to learn more!</w:t>
      </w:r>
    </w:p>
    <w:bookmarkEnd w:id="94"/>
    <w:bookmarkStart w:id="103"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(McGuire, Tugemann, and Civario 2012)</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102"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important.png" id="9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(Taalman 2007)</w:t>
      </w:r>
    </w:p>
    <w:p>
      <w:pPr>
        <w:pStyle w:val="CaptionedFigure"/>
      </w:pPr>
      <w:r>
        <w:drawing>
          <wp:inline>
            <wp:extent cx="4160520" cy="3844320"/>
            <wp:effectExtent b="0" l="0" r="0" t="0"/>
            <wp:docPr descr="4 unavoidable sets on a type-1 Shidoku board." title="" id="98" name="Picture"/>
            <a:graphic>
              <a:graphicData uri="http://schemas.openxmlformats.org/drawingml/2006/picture">
                <pic:pic>
                  <pic:nvPicPr>
                    <pic:cNvPr descr="./FiguresPNG/latinsquares_sudoku-fig11.png" id="99" name="Picture"/>
                    <pic:cNvPicPr>
                      <a:picLocks noChangeArrowheads="1" noChangeAspect="1"/>
                    </pic:cNvPicPr>
                  </pic:nvPicPr>
                  <pic:blipFill>
                    <a:blip r:embed="rId97"/>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102"/>
    <w:bookmarkEnd w:id="103"/>
    <w:bookmarkEnd w:id="104"/>
    <w:bookmarkEnd w:id="105"/>
    <w:bookmarkStart w:id="106"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106"/>
    <w:bookmarkStart w:id="114"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107">
        <w:r>
          <w:rPr>
            <w:rStyle w:val="Hyperlink"/>
          </w:rPr>
          <w:t xml:space="preserve">This work is licensed under CC BY-NC-SA 4.0.</w:t>
        </w:r>
      </w:hyperlink>
    </w:p>
    <w:bookmarkStart w:id="113" w:name="references"/>
    <w:p>
      <w:pPr>
        <w:pStyle w:val="Heading4"/>
      </w:pPr>
      <w:r>
        <w:t xml:space="preserve">References</w:t>
      </w:r>
    </w:p>
    <w:bookmarkStart w:id="112" w:name="refs"/>
    <w:bookmarkStart w:id="108" w:name="ref-BFFJ"/>
    <w:p>
      <w:pPr>
        <w:pStyle w:val="Bibliography"/>
      </w:pPr>
      <w:r>
        <w:t xml:space="preserve">Felgenhauer, Bertram, and Frazer Jarvis. 2005.</w:t>
      </w:r>
      <w:r>
        <w:t xml:space="preserve"> </w:t>
      </w:r>
      <w:r>
        <w:t xml:space="preserve">“Enumerating Possible Sudoku Grids.”</w:t>
      </w:r>
    </w:p>
    <w:bookmarkEnd w:id="108"/>
    <w:bookmarkStart w:id="109" w:name="ref-McGBTGC"/>
    <w:p>
      <w:pPr>
        <w:pStyle w:val="Bibliography"/>
      </w:pPr>
      <w:r>
        <w:t xml:space="preserve">McGuire, Gary, Bastian Tugemann, and Gilles Civario. 2012.</w:t>
      </w:r>
      <w:r>
        <w:t xml:space="preserve"> </w:t>
      </w:r>
      <w:r>
        <w:t xml:space="preserve">“There Is No 16-Clue Sudoku: Solving the Sudoku Minimum Number of Clues Problem.”</w:t>
      </w:r>
    </w:p>
    <w:bookmarkEnd w:id="109"/>
    <w:bookmarkStart w:id="110" w:name="ref-ERFJ"/>
    <w:p>
      <w:pPr>
        <w:pStyle w:val="Bibliography"/>
      </w:pPr>
      <w:r>
        <w:t xml:space="preserve">Russell, Ed, and Frazer Jarvis. 2006.</w:t>
      </w:r>
      <w:r>
        <w:t xml:space="preserve"> </w:t>
      </w:r>
      <w:r>
        <w:t xml:space="preserve">“Mathematics of Sudoku II.”</w:t>
      </w:r>
    </w:p>
    <w:bookmarkEnd w:id="110"/>
    <w:bookmarkStart w:id="111" w:name="ref-LauraT"/>
    <w:p>
      <w:pPr>
        <w:pStyle w:val="Bibliography"/>
      </w:pPr>
      <w:r>
        <w:t xml:space="preserve">Taalman, Laura. 2007.</w:t>
      </w:r>
      <w:r>
        <w:t xml:space="preserve"> </w:t>
      </w:r>
      <w:r>
        <w:t xml:space="preserve">“Taking Sudoku Seriously.”</w:t>
      </w:r>
      <w:r>
        <w:t xml:space="preserve"> </w:t>
      </w:r>
      <w:r>
        <w:rPr>
          <w:i/>
          <w:iCs/>
        </w:rPr>
        <w:t xml:space="preserve">Math Horizons</w:t>
      </w:r>
      <w:r>
        <w:t xml:space="preserve"> </w:t>
      </w:r>
      <w:r>
        <w:t xml:space="preserve">15 (1): 5–9.</w:t>
      </w:r>
    </w:p>
    <w:bookmarkEnd w:id="111"/>
    <w:bookmarkEnd w:id="112"/>
    <w:bookmarkEnd w:id="113"/>
    <w:bookmarkEnd w:id="11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3" Target="../studyguides/introtogroups.qmd" TargetMode="External" /><Relationship Type="http://schemas.openxmlformats.org/officeDocument/2006/relationships/hyperlink" Id="rId10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Latin Squares and the Mathematics of Sudoku</dc:title>
  <dc:creator>Holly Goldsmith</dc:creator>
  <cp:keywords/>
  <dcterms:created xsi:type="dcterms:W3CDTF">2026-06-04T09:59:11Z</dcterms:created>
  <dcterms:modified xsi:type="dcterms:W3CDTF">2026-06-04T09:59:11Z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Latin squares—grids filled with symbols so that each appears exactly once in every row and column—have been studied for centuries, admired both for their elegant simplicity and surprising depth. Long before Sudoku became a global pastime, mathematicians were exploring these structured patterns to understand symmetry, design experiments and much more. Sudoku builds on these ideas of organization to create a widely beloved brain-teaser that many individuals indulge in daily. This article introduces the world of Latin squares and their relation to Sudoku puzzles.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ibliography">
    <vt:lpwstr>latinsquaressudoku.bib</vt:lpwstr>
  </property>
  <property fmtid="{D5CDD505-2E9C-101B-9397-08002B2CF9AE}" pid="7" name="by-author">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FiguresPNG/latinsquares_sudoku-image.png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