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2.png" ContentType="image/png"/>
  <Override PartName="/word/media/rId51.png" ContentType="image/png"/>
  <Override PartName="/word/media/rId55.png" ContentType="image/png"/>
  <Override PartName="/word/media/rId45.png" ContentType="image/png"/>
  <Override PartName="/word/media/rId41.png" ContentType="image/png"/>
  <Override PartName="/word/media/rId59.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(degrees)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degrees to measure angles.</w:t>
      </w:r>
    </w:p>
    <w:p>
      <w:pPr>
        <w:pStyle w:val="FirstParagraph"/>
      </w:pPr>
      <w:r>
        <w:rPr>
          <w:b/>
          <w:bCs/>
        </w:rPr>
        <w:t xml:space="preserve">Degrees are used throughout this guide. If you would like to see this guide using radians, please see</w:t>
      </w:r>
      <w:r>
        <w:rPr>
          <w:b/>
          <w:bCs/>
        </w:rPr>
        <w:t xml:space="preserve"> </w:t>
      </w:r>
      <w:hyperlink r:id="rId20">
        <w:r>
          <w:rPr>
            <w:rStyle w:val="Hyperlink"/>
            <w:b/>
            <w:bCs/>
          </w:rPr>
          <w:t xml:space="preserve">Guide: Trigonometry (radians)</w:t>
        </w:r>
      </w:hyperlink>
      <w:r>
        <w:rPr>
          <w:b/>
          <w:bCs/>
        </w:rPr>
        <w:t xml:space="preserve">.</w:t>
      </w:r>
    </w:p>
    <w:bookmarkStart w:id="21"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1"/>
    <w:bookmarkStart w:id="38"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2523010" cy="1403711"/>
                  <wp:effectExtent b="0" l="0" r="0" t="0"/>
                  <wp:docPr descr="" title="" id="23" name="Picture"/>
                  <a:graphic>
                    <a:graphicData uri="http://schemas.openxmlformats.org/drawingml/2006/picture">
                      <pic:pic>
                        <pic:nvPicPr>
                          <pic:cNvPr descr="./FiguresPNG/intrototrig-fig1-1.png" id="24" name="Picture"/>
                          <pic:cNvPicPr>
                            <a:picLocks noChangeArrowheads="1" noChangeAspect="1"/>
                          </pic:cNvPicPr>
                        </pic:nvPicPr>
                        <pic:blipFill>
                          <a:blip r:embed="rId22"/>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5"/>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0"/>
                <w:p>
                  <w:pPr>
                    <w:pStyle w:val="Compact"/>
                    <w:jc w:val="center"/>
                  </w:pPr>
                  <w:r>
                    <w:drawing>
                      <wp:inline>
                        <wp:extent cx="2223307" cy="1388420"/>
                        <wp:effectExtent b="0" l="0" r="0" t="0"/>
                        <wp:docPr descr="" title="" id="35" name="Picture"/>
                        <a:graphic>
                          <a:graphicData uri="http://schemas.openxmlformats.org/drawingml/2006/picture">
                            <pic:pic>
                              <pic:nvPicPr>
                                <pic:cNvPr descr="./FiguresPNG/intrototrig-fig0-1.png" id="36" name="Picture"/>
                                <pic:cNvPicPr>
                                  <a:picLocks noChangeArrowheads="1" noChangeAspect="1"/>
                                </pic:cNvPicPr>
                              </pic:nvPicPr>
                              <pic:blipFill>
                                <a:blip r:embed="rId34"/>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7"/>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End w:id="38"/>
    <w:bookmarkStart w:id="64" w:name="the-unit-circle"/>
    <w:p>
      <w:pPr>
        <w:pStyle w:val="Heading1"/>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sSup>
          <m:e>
            <m:r>
              <m:t>90</m:t>
            </m:r>
          </m:e>
          <m:sup>
            <m:r>
              <m:rPr>
                <m:sty m:val="p"/>
              </m:rPr>
              <m:t>∘</m:t>
            </m:r>
          </m:sup>
        </m:sSup>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on your unit circle. You would start with an unlabelled unit circle, marking on a line</w:t>
            </w:r>
            <w:r>
              <w:t xml:space="preserve"> </w:t>
            </w:r>
            <m:oMath>
              <m:sSup>
                <m:e>
                  <m:r>
                    <m:t>240</m:t>
                  </m:r>
                </m:e>
                <m:sup>
                  <m:r>
                    <m:rPr>
                      <m:sty m:val="p"/>
                    </m:rPr>
                    <m:t>∘</m:t>
                  </m:r>
                </m:sup>
              </m:sSup>
            </m:oMath>
            <w:r>
              <w:t xml:space="preserve"> </w:t>
            </w:r>
            <w:r>
              <w:t xml:space="preserve">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sSup>
                <m:e>
                  <m:r>
                    <m:t>180</m:t>
                  </m:r>
                </m:e>
                <m:sup>
                  <m:r>
                    <m:rPr>
                      <m:sty m:val="p"/>
                    </m:rPr>
                    <m:t>∘</m:t>
                  </m:r>
                </m:sup>
              </m:sSup>
            </m:oMath>
            <w:r>
              <w:t xml:space="preserve"> </w:t>
            </w:r>
            <w:r>
              <w:t xml:space="preserve">away from the</w:t>
            </w:r>
            <w:r>
              <w:t xml:space="preserve"> </w:t>
            </w:r>
            <m:oMath>
              <m:r>
                <m:t>x</m:t>
              </m:r>
            </m:oMath>
            <w:r>
              <w:t xml:space="preserve">-axis. This means that the angle in our triangle will be</w:t>
            </w:r>
            <w:r>
              <w:t xml:space="preserve"> </w:t>
            </w:r>
            <m:oMath>
              <m:sSup>
                <m:e>
                  <m:r>
                    <m:t>60</m:t>
                  </m:r>
                </m:e>
                <m:sup>
                  <m:r>
                    <m:rPr>
                      <m:sty m:val="p"/>
                    </m:rPr>
                    <m:t>∘</m:t>
                  </m:r>
                </m:sup>
              </m:sSup>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880789"/>
                        <wp:effectExtent b="0" l="0" r="0" t="0"/>
                        <wp:docPr descr="" title="" id="42" name="Picture"/>
                        <a:graphic>
                          <a:graphicData uri="http://schemas.openxmlformats.org/drawingml/2006/picture">
                            <pic:pic>
                              <pic:nvPicPr>
                                <pic:cNvPr descr="./FiguresPNG/intrototrigd-fig4-2.png" id="43" name="Picture"/>
                                <pic:cNvPicPr>
                                  <a:picLocks noChangeArrowheads="1" noChangeAspect="1"/>
                                </pic:cNvPicPr>
                              </pic:nvPicPr>
                              <pic:blipFill>
                                <a:blip r:embed="rId41"/>
                                <a:stretch>
                                  <a:fillRect/>
                                </a:stretch>
                              </pic:blipFill>
                              <pic:spPr bwMode="auto">
                                <a:xfrm>
                                  <a:off x="0" y="0"/>
                                  <a:ext cx="5755521" cy="188078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d-fig2-3.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 including the angle from Example 1.</w:t>
            </w:r>
          </w:p>
          <w:bookmarkEnd w:id="48"/>
        </w:tc>
      </w:tr>
    </w:tbl>
    <w:p>
      <w:pPr>
        <w:pStyle w:val="BodyText"/>
      </w:pPr>
      <w:r>
        <w:t xml:space="preserve">So from Example 1, the value of</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sSup>
          <m:e>
            <m:r>
              <m:t>0</m:t>
            </m:r>
          </m:e>
          <m:sup>
            <m:r>
              <m:rPr>
                <m:sty m:val="p"/>
              </m:rPr>
              <m:t>∘</m:t>
            </m:r>
          </m:sup>
        </m:sSup>
      </m:oMath>
      <w:r>
        <w:t xml:space="preserve"> </w:t>
      </w:r>
      <w:r>
        <w:t xml:space="preserve">to</w:t>
      </w:r>
      <w:r>
        <w:t xml:space="preserve"> </w:t>
      </w:r>
      <m:oMath>
        <m:sSup>
          <m:e>
            <m:r>
              <m:t>360</m:t>
            </m:r>
          </m:e>
          <m:sup>
            <m:r>
              <m:rPr>
                <m:sty m:val="p"/>
              </m:rPr>
              <m:t>∘</m:t>
            </m:r>
          </m:sup>
        </m:sSup>
      </m:oMath>
      <w:r>
        <w:t xml:space="preserve">. 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0</m:t>
            </m:r>
          </m:e>
          <m:sup>
            <m:r>
              <m:rPr>
                <m:sty m:val="p"/>
              </m:rPr>
              <m:t>∘</m:t>
            </m:r>
          </m:sup>
        </m:sSup>
        <m:r>
          <m:rPr>
            <m:sty m:val="p"/>
          </m:rPr>
          <m:t>&lt;</m:t>
        </m:r>
        <m:r>
          <m:t>θ</m:t>
        </m:r>
        <m:r>
          <m:rPr>
            <m:sty m:val="p"/>
          </m:rPr>
          <m:t>&lt;</m:t>
        </m:r>
        <m:sSup>
          <m:e>
            <m:r>
              <m:t>90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90</m:t>
            </m:r>
          </m:e>
          <m:sup>
            <m:r>
              <m:rPr>
                <m:sty m:val="p"/>
              </m:rPr>
              <m:t>∘</m:t>
            </m:r>
          </m:sup>
        </m:sSup>
        <m:r>
          <m:rPr>
            <m:sty m:val="p"/>
          </m:rPr>
          <m:t>&lt;</m:t>
        </m:r>
        <m:r>
          <m:t>θ</m:t>
        </m:r>
        <m:r>
          <m:rPr>
            <m:sty m:val="p"/>
          </m:rPr>
          <m:t>&lt;</m:t>
        </m:r>
        <m:sSup>
          <m:e>
            <m:r>
              <m:t>180</m:t>
            </m:r>
          </m:e>
          <m:sup>
            <m:r>
              <m:rPr>
                <m:sty m:val="p"/>
              </m:rPr>
              <m:t>∘</m:t>
            </m:r>
          </m:sup>
        </m:sSup>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180</m:t>
            </m:r>
          </m:e>
          <m:sup>
            <m:r>
              <m:rPr>
                <m:sty m:val="p"/>
              </m:rPr>
              <m:t>∘</m:t>
            </m:r>
          </m:sup>
        </m:sSup>
        <m:r>
          <m:rPr>
            <m:sty m:val="p"/>
          </m:rPr>
          <m:t>&lt;</m:t>
        </m:r>
        <m:r>
          <m:t>θ</m:t>
        </m:r>
        <m:r>
          <m:rPr>
            <m:sty m:val="p"/>
          </m:rPr>
          <m:t>&lt;</m:t>
        </m:r>
        <m:sSup>
          <m:e>
            <m:r>
              <m:t>270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270</m:t>
            </m:r>
          </m:e>
          <m:sup>
            <m:r>
              <m:rPr>
                <m:sty m:val="p"/>
              </m:rPr>
              <m:t>∘</m:t>
            </m:r>
          </m:sup>
        </m:sSup>
        <m:r>
          <m:rPr>
            <m:sty m:val="p"/>
          </m:rPr>
          <m:t>&lt;</m:t>
        </m:r>
        <m:r>
          <m:t>θ</m:t>
        </m:r>
        <m:r>
          <m:rPr>
            <m:sty m:val="p"/>
          </m:rPr>
          <m:t>&lt;</m:t>
        </m:r>
        <m:sSup>
          <m:e>
            <m:r>
              <m:t>360</m:t>
            </m:r>
          </m:e>
          <m:sup>
            <m:r>
              <m:rPr>
                <m:sty m:val="p"/>
              </m:rPr>
              <m:t>∘</m:t>
            </m:r>
          </m:sup>
        </m:sSup>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sSup>
          <m:e>
            <m:r>
              <m:t>0</m:t>
            </m:r>
          </m:e>
          <m:sup>
            <m:r>
              <m:rPr>
                <m:sty m:val="p"/>
              </m:rPr>
              <m:t>∘</m:t>
            </m:r>
          </m:sup>
        </m:sSup>
      </m:oMath>
      <w:r>
        <w:t xml:space="preserve"> </w:t>
      </w:r>
      <w:r>
        <w:t xml:space="preserve">along the positive</w:t>
      </w:r>
      <w:r>
        <w:t xml:space="preserve"> </w:t>
      </w:r>
      <m:oMath>
        <m:r>
          <m:t>x</m:t>
        </m:r>
      </m:oMath>
      <w:r>
        <w:t xml:space="preserve">-axis,</w:t>
      </w:r>
      <w:r>
        <w:t xml:space="preserve"> </w:t>
      </w:r>
      <m:oMath>
        <m:r>
          <m:t>θ</m:t>
        </m:r>
        <m:r>
          <m:rPr>
            <m:sty m:val="p"/>
          </m:rPr>
          <m:t>=</m:t>
        </m:r>
        <m:sSup>
          <m:e>
            <m:r>
              <m:t>90</m:t>
            </m:r>
          </m:e>
          <m:sup>
            <m:r>
              <m:rPr>
                <m:sty m:val="p"/>
              </m:rPr>
              <m:t>∘</m:t>
            </m:r>
          </m:sup>
        </m:sSup>
      </m:oMath>
      <w:r>
        <w:t xml:space="preserve"> </w:t>
      </w:r>
      <w:r>
        <w:t xml:space="preserve">along the positive</w:t>
      </w:r>
      <w:r>
        <w:t xml:space="preserve"> </w:t>
      </w:r>
      <m:oMath>
        <m:r>
          <m:t>y</m:t>
        </m:r>
      </m:oMath>
      <w:r>
        <w:t xml:space="preserve">-axis,</w:t>
      </w:r>
      <w:r>
        <w:t xml:space="preserve"> </w:t>
      </w:r>
      <m:oMath>
        <m:r>
          <m:t>θ</m:t>
        </m:r>
        <m:r>
          <m:rPr>
            <m:sty m:val="p"/>
          </m:rPr>
          <m:t>=</m:t>
        </m:r>
        <m:sSup>
          <m:e>
            <m:r>
              <m:t>180</m:t>
            </m:r>
          </m:e>
          <m:sup>
            <m:r>
              <m:rPr>
                <m:sty m:val="p"/>
              </m:rPr>
              <m:t>∘</m:t>
            </m:r>
          </m:sup>
        </m:sSup>
      </m:oMath>
      <w:r>
        <w:t xml:space="preserve"> </w:t>
      </w:r>
      <w:r>
        <w:t xml:space="preserve">along the negative</w:t>
      </w:r>
      <w:r>
        <w:t xml:space="preserve"> </w:t>
      </w:r>
      <m:oMath>
        <m:r>
          <m:t>x</m:t>
        </m:r>
      </m:oMath>
      <w:r>
        <w:t xml:space="preserve">-axis, and</w:t>
      </w:r>
      <w:r>
        <w:t xml:space="preserve"> </w:t>
      </w:r>
      <m:oMath>
        <m:r>
          <m:t>θ</m:t>
        </m:r>
        <m:r>
          <m:rPr>
            <m:sty m:val="p"/>
          </m:rPr>
          <m:t>=</m:t>
        </m:r>
        <m:sSup>
          <m:e>
            <m:r>
              <m:t>270</m:t>
            </m:r>
          </m:e>
          <m:sup>
            <m:r>
              <m:rPr>
                <m:sty m:val="p"/>
              </m:rPr>
              <m:t>∘</m:t>
            </m:r>
          </m:sup>
        </m:sSup>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sSup>
          <m:e>
            <m:r>
              <m:t>0</m:t>
            </m:r>
          </m:e>
          <m:sup>
            <m:r>
              <m:rPr>
                <m:sty m:val="p"/>
              </m:rPr>
              <m:t>∘</m:t>
            </m:r>
          </m:sup>
        </m:sSup>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sSup>
          <m:e>
            <m:r>
              <m:t>90</m:t>
            </m:r>
          </m:e>
          <m:sup>
            <m:r>
              <m:rPr>
                <m:sty m:val="p"/>
              </m:rPr>
              <m:t>∘</m:t>
            </m:r>
          </m:sup>
        </m:sSup>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sSup>
              <m:e>
                <m:r>
                  <m:t>90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90</m:t>
                </m:r>
              </m:e>
              <m:sup>
                <m:r>
                  <m:rPr>
                    <m:sty m:val="p"/>
                  </m:rPr>
                  <m:t>∘</m:t>
                </m:r>
              </m:sup>
            </m:sSup>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sSup>
              <m:e>
                <m:r>
                  <m:t>90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90</m:t>
                </m:r>
              </m:e>
              <m:sup>
                <m:r>
                  <m:rPr>
                    <m:sty m:val="p"/>
                  </m:rPr>
                  <m:t>∘</m:t>
                </m:r>
              </m:sup>
            </m:sSup>
          </m:e>
        </m:d>
        <m:r>
          <m:rPr>
            <m:sty m:val="p"/>
          </m:rPr>
          <m:t>=</m:t>
        </m:r>
        <m:r>
          <m:t>0</m:t>
        </m:r>
      </m:oMath>
      <w:r>
        <w:t xml:space="preserve">.</w:t>
      </w:r>
    </w:p>
    <w:p>
      <w:pPr>
        <w:numPr>
          <w:ilvl w:val="0"/>
          <w:numId w:val="1002"/>
        </w:numPr>
      </w:pPr>
      <w:r>
        <w:t xml:space="preserve">If</w:t>
      </w:r>
      <w:r>
        <w:t xml:space="preserve"> </w:t>
      </w:r>
      <m:oMath>
        <m:r>
          <m:t>θ</m:t>
        </m:r>
        <m:r>
          <m:rPr>
            <m:sty m:val="p"/>
          </m:rPr>
          <m:t>=</m:t>
        </m:r>
        <m:sSup>
          <m:e>
            <m:r>
              <m:t>180</m:t>
            </m:r>
          </m:e>
          <m:sup>
            <m:r>
              <m:rPr>
                <m:sty m:val="p"/>
              </m:rPr>
              <m:t>∘</m:t>
            </m:r>
          </m:sup>
        </m:sSup>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sSup>
              <m:e>
                <m:r>
                  <m:t>180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sSup>
              <m:e>
                <m:r>
                  <m:t>180</m:t>
                </m:r>
              </m:e>
              <m:sup>
                <m:r>
                  <m:rPr>
                    <m:sty m:val="p"/>
                  </m:rPr>
                  <m:t>∘</m:t>
                </m:r>
              </m:sup>
            </m:sSup>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sSup>
              <m:e>
                <m:r>
                  <m:t>180</m:t>
                </m:r>
              </m:e>
              <m:sup>
                <m:r>
                  <m:rPr>
                    <m:sty m:val="p"/>
                  </m:rPr>
                  <m:t>∘</m:t>
                </m:r>
              </m:sup>
            </m:sSup>
          </m:e>
        </m:d>
        <m:r>
          <m:rPr>
            <m:sty m:val="p"/>
          </m:rPr>
          <m:t>=</m:t>
        </m:r>
        <m:r>
          <m:rPr>
            <m:sty m:val="p"/>
          </m:rPr>
          <m:t>sin</m:t>
        </m:r>
        <m:d>
          <m:dPr>
            <m:begChr m:val="("/>
            <m:sepChr m:val=""/>
            <m:endChr m:val=")"/>
            <m:grow/>
          </m:dPr>
          <m:e>
            <m:sSup>
              <m:e>
                <m:r>
                  <m:t>180</m:t>
                </m:r>
              </m:e>
              <m:sup>
                <m:r>
                  <m:rPr>
                    <m:sty m:val="p"/>
                  </m:rPr>
                  <m:t>∘</m:t>
                </m:r>
              </m:sup>
            </m:sSup>
          </m:e>
        </m:d>
        <m:r>
          <m:rPr>
            <m:sty m:val="p"/>
          </m:rPr>
          <m:t>/</m:t>
        </m:r>
        <m:r>
          <m:rPr>
            <m:sty m:val="p"/>
          </m:rPr>
          <m:t>cos</m:t>
        </m:r>
        <m:d>
          <m:dPr>
            <m:begChr m:val="("/>
            <m:sepChr m:val=""/>
            <m:endChr m:val=")"/>
            <m:grow/>
          </m:dPr>
          <m:e>
            <m:sSup>
              <m:e>
                <m:r>
                  <m:t>180</m:t>
                </m:r>
              </m:e>
              <m:sup>
                <m:r>
                  <m:rPr>
                    <m:sty m:val="p"/>
                  </m:rPr>
                  <m:t>∘</m:t>
                </m:r>
              </m:sup>
            </m:sSup>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sSup>
          <m:e>
            <m:r>
              <m:t>270</m:t>
            </m:r>
          </m:e>
          <m:sup>
            <m:r>
              <m:rPr>
                <m:sty m:val="p"/>
              </m:rPr>
              <m:t>∘</m:t>
            </m:r>
          </m:sup>
        </m:sSup>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sSup>
              <m:e>
                <m:r>
                  <m:t>270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270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sSup>
              <m:e>
                <m:r>
                  <m:t>270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270</m:t>
                </m:r>
              </m:e>
              <m:sup>
                <m:r>
                  <m:rPr>
                    <m:sty m:val="p"/>
                  </m:rPr>
                  <m:t>∘</m:t>
                </m:r>
              </m:sup>
            </m:sSup>
          </m:e>
        </m:d>
        <m:r>
          <m:rPr>
            <m:sty m:val="p"/>
          </m:rPr>
          <m:t>=</m:t>
        </m:r>
        <m:r>
          <m:t>0</m:t>
        </m:r>
      </m:oMath>
      <w:r>
        <w:t xml:space="preserve">.</w:t>
      </w:r>
    </w:p>
    <w:bookmarkStart w:id="63"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sSup>
                <m:e>
                  <m:r>
                    <m:t>30</m:t>
                  </m:r>
                </m:e>
                <m:sup>
                  <m:r>
                    <m:rPr>
                      <m:sty m:val="p"/>
                    </m:rPr>
                    <m:t>∘</m:t>
                  </m:r>
                </m:sup>
              </m:sSup>
            </m:oMath>
          </w:p>
        </w:tc>
        <w:tc>
          <w:tcPr/>
          <w:p>
            <w:pPr>
              <w:pStyle w:val="Compact"/>
              <w:jc w:val="left"/>
            </w:pPr>
            <m:oMath>
              <m:sSup>
                <m:e>
                  <m:r>
                    <m:t>45</m:t>
                  </m:r>
                </m:e>
                <m:sup>
                  <m:r>
                    <m:rPr>
                      <m:sty m:val="p"/>
                    </m:rPr>
                    <m:t>∘</m:t>
                  </m:r>
                </m:sup>
              </m:sSup>
            </m:oMath>
          </w:p>
        </w:tc>
        <w:tc>
          <w:tcPr/>
          <w:p>
            <w:pPr>
              <w:pStyle w:val="Compact"/>
              <w:jc w:val="left"/>
            </w:pPr>
            <m:oMath>
              <m:sSup>
                <m:e>
                  <m:r>
                    <m:t>60</m:t>
                  </m:r>
                </m:e>
                <m:sup>
                  <m:r>
                    <m:rPr>
                      <m:sty m:val="p"/>
                    </m:rPr>
                    <m:t>∘</m:t>
                  </m:r>
                </m:sup>
              </m:sSup>
            </m:oMath>
          </w:p>
        </w:tc>
        <w:tc>
          <w:tcPr/>
          <w:p>
            <w:pPr>
              <w:pStyle w:val="Compact"/>
              <w:jc w:val="left"/>
            </w:pPr>
            <m:oMath>
              <m:sSup>
                <m:e>
                  <m:r>
                    <m:t>90</m:t>
                  </m:r>
                </m:e>
                <m:sup>
                  <m:r>
                    <m:rPr>
                      <m:sty m:val="p"/>
                    </m:rPr>
                    <m:t>∘</m:t>
                  </m:r>
                </m:sup>
              </m:sSup>
            </m:oMath>
          </w:p>
        </w:tc>
        <w:tc>
          <w:tcPr/>
          <w:p>
            <w:pPr>
              <w:pStyle w:val="Compact"/>
              <w:jc w:val="left"/>
            </w:pPr>
            <m:oMath>
              <m:sSup>
                <m:e>
                  <m:r>
                    <m:t>180</m:t>
                  </m:r>
                </m:e>
                <m:sup>
                  <m:r>
                    <m:rPr>
                      <m:sty m:val="p"/>
                    </m:rPr>
                    <m:t>∘</m:t>
                  </m:r>
                </m:sup>
              </m:sSup>
            </m:oMath>
          </w:p>
        </w:tc>
        <w:tc>
          <w:tcPr/>
          <w:p>
            <w:pPr>
              <w:pStyle w:val="Compact"/>
              <w:jc w:val="left"/>
            </w:pPr>
            <m:oMath>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2" w:name="fig-6"/>
          <w:p>
            <w:pPr>
              <w:pStyle w:val="Compact"/>
              <w:jc w:val="center"/>
            </w:pPr>
            <w:r>
              <w:drawing>
                <wp:inline>
                  <wp:extent cx="5737171" cy="1905254"/>
                  <wp:effectExtent b="0" l="0" r="0" t="0"/>
                  <wp:docPr descr="" title="" id="60" name="Picture"/>
                  <a:graphic>
                    <a:graphicData uri="http://schemas.openxmlformats.org/drawingml/2006/picture">
                      <pic:pic>
                        <pic:nvPicPr>
                          <pic:cNvPr descr="./FiguresPNG/intrototrigd-fig6-1.png" id="61" name="Picture"/>
                          <pic:cNvPicPr>
                            <a:picLocks noChangeArrowheads="1" noChangeAspect="1"/>
                          </pic:cNvPicPr>
                        </pic:nvPicPr>
                        <pic:blipFill>
                          <a:blip r:embed="rId59"/>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w:t>
            </w:r>
            <w:r>
              <w:t xml:space="preserve">and</w:t>
            </w:r>
            <w:r>
              <w:t xml:space="preserve"> </w:t>
            </w:r>
            <m:oMath>
              <m:sSup>
                <m:e>
                  <m:r>
                    <m:t>60</m:t>
                  </m:r>
                </m:e>
                <m:sup>
                  <m:r>
                    <m:rPr>
                      <m:sty m:val="p"/>
                    </m:rPr>
                    <m:t>∘</m:t>
                  </m:r>
                </m:sup>
              </m:sSup>
            </m:oMath>
            <w:r>
              <w:t xml:space="preserve">.</w:t>
            </w:r>
          </w:p>
          <w:bookmarkEnd w:id="62"/>
        </w:tc>
      </w:tr>
    </w:tbl>
    <w:bookmarkEnd w:id="63"/>
    <w:bookmarkEnd w:id="64"/>
    <w:bookmarkStart w:id="72"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 Of course, there is a health warning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r>
                  <m:rPr>
                    <m:sty m:val="p"/>
                  </m:rPr>
                  <m:t>=</m:t>
                </m:r>
                <m:f>
                  <m:fPr>
                    <m:type m:val="bar"/>
                  </m:fPr>
                  <m:num>
                    <m:r>
                      <m:t>1</m:t>
                    </m:r>
                  </m:num>
                  <m:den>
                    <m:r>
                      <m:rPr>
                        <m:sty m:val="p"/>
                      </m:rPr>
                      <m:t>sin</m:t>
                    </m:r>
                    <m:d>
                      <m:dPr>
                        <m:begChr m:val="("/>
                        <m:sepChr m:val=""/>
                        <m:endChr m:val=")"/>
                        <m:grow/>
                      </m:dPr>
                      <m:e>
                        <m:r>
                          <m:t>45</m:t>
                        </m:r>
                      </m:e>
                    </m:d>
                  </m:den>
                </m:f>
                <m:r>
                  <m:rPr>
                    <m:sty m:val="p"/>
                  </m:rPr>
                  <m:t>+</m:t>
                </m:r>
                <m:f>
                  <m:fPr>
                    <m:type m:val="bar"/>
                  </m:fPr>
                  <m:num>
                    <m:r>
                      <m:t>1</m:t>
                    </m:r>
                  </m:num>
                  <m:den>
                    <m:r>
                      <m:rPr>
                        <m:sty m:val="p"/>
                      </m:rPr>
                      <m:t>tan</m:t>
                    </m:r>
                    <m:d>
                      <m:dPr>
                        <m:begChr m:val="("/>
                        <m:sepChr m:val=""/>
                        <m:endChr m:val=")"/>
                        <m:grow/>
                      </m:dPr>
                      <m:e>
                        <m:r>
                          <m:t>30</m:t>
                        </m:r>
                      </m:e>
                    </m:d>
                  </m:den>
                </m:f>
                <m:r>
                  <m:rPr>
                    <m:sty m:val="p"/>
                  </m:rPr>
                  <m:t>+</m:t>
                </m:r>
                <m:f>
                  <m:fPr>
                    <m:type m:val="bar"/>
                  </m:fPr>
                  <m:num>
                    <m:r>
                      <m:t>1</m:t>
                    </m:r>
                  </m:num>
                  <m:den>
                    <m:r>
                      <m:rPr>
                        <m:sty m:val="p"/>
                      </m:rPr>
                      <m:t>cos</m:t>
                    </m:r>
                    <m:d>
                      <m:dPr>
                        <m:begChr m:val="("/>
                        <m:sepChr m:val=""/>
                        <m:endChr m:val=")"/>
                        <m:grow/>
                      </m:dPr>
                      <m:e>
                        <m:r>
                          <m:t>60</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 that</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r>
              <w:t xml:space="preserve">.</w:t>
            </w:r>
          </w:p>
          <w:p>
            <w:pPr>
              <w:pStyle w:val="BodyText"/>
            </w:pPr>
            <w:r>
              <w:t xml:space="preserve">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1"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60</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1"/>
    <w:bookmarkEnd w:id="72"/>
    <w:bookmarkStart w:id="78" w:name="further-reading"/>
    <w:p>
      <w:pPr>
        <w:pStyle w:val="Heading1"/>
      </w:pPr>
      <w:r>
        <w:t xml:space="preserve">Further reading</w:t>
      </w:r>
    </w:p>
    <w:p>
      <w:pPr>
        <w:pStyle w:val="FirstParagraph"/>
      </w:pPr>
      <w:hyperlink r:id="rId73">
        <w:r>
          <w:rPr>
            <w:rStyle w:val="Hyperlink"/>
          </w:rPr>
          <w:t xml:space="preserve">For more questions on the subject, please go to Questions: Trigonometry (degrees).</w:t>
        </w:r>
      </w:hyperlink>
    </w:p>
    <w:p>
      <w:pPr>
        <w:pStyle w:val="BodyText"/>
      </w:pPr>
      <w:r>
        <w:t xml:space="preserve">After this guide you may consider expanding your knowledge of trigonometry by reading</w:t>
      </w:r>
      <w:r>
        <w:t xml:space="preserve"> </w:t>
      </w:r>
      <w:hyperlink r:id="rId74">
        <w:r>
          <w:rPr>
            <w:rStyle w:val="Hyperlink"/>
          </w:rPr>
          <w:t xml:space="preserve">Guide: Trigonometric identities (degrees)</w:t>
        </w:r>
      </w:hyperlink>
      <w:r>
        <w:t xml:space="preserve"> </w:t>
      </w:r>
      <w:r>
        <w:t xml:space="preserve">or</w:t>
      </w:r>
      <w:r>
        <w:t xml:space="preserve"> </w:t>
      </w:r>
      <w:hyperlink r:id="rId75">
        <w:r>
          <w:rPr>
            <w:rStyle w:val="Hyperlink"/>
          </w:rPr>
          <w:t xml:space="preserve">Guide: Rearranging equations involving trigonometry and logarithms</w:t>
        </w:r>
      </w:hyperlink>
      <w:r>
        <w:t xml:space="preserve">.</w:t>
      </w:r>
    </w:p>
    <w:p>
      <w:pPr>
        <w:pStyle w:val="BodyText"/>
      </w:pPr>
      <w:hyperlink r:id="rId20">
        <w:r>
          <w:rPr>
            <w:rStyle w:val="Hyperlink"/>
          </w:rPr>
          <w:t xml:space="preserve">Guide: Trigonometry (radians) is a version of this guide using radians to measure angles.</w:t>
        </w:r>
      </w:hyperlink>
    </w:p>
    <w:bookmarkStart w:id="77"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(degrees)</dc:title>
  <dc:creator>Ciara Cormican, Ellie Gurini, Dzhemma Ruseva</dc:creator>
  <cp:keywords/>
  <dcterms:created xsi:type="dcterms:W3CDTF">2026-06-04T10:01:57Z</dcterms:created>
  <dcterms:modified xsi:type="dcterms:W3CDTF">2026-06-04T10:01:57Z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degrees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