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11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2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1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Guide: Introduction to complex numbers</w:t>
        </w:r>
      </w:hyperlink>
      <w:r>
        <w:t xml:space="preserve">), rearranging</w:t>
      </w:r>
      <w:r>
        <w:t xml:space="preserve"> </w:t>
      </w:r>
      <m:oMath>
        <m:r>
          <m:t>4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completingthesquare.qmd" TargetMode="External" /><Relationship Type="http://schemas.openxmlformats.org/officeDocument/2006/relationships/hyperlink" Id="rId12" Target="../studyguides/introtocomplexnumbers.qmd" TargetMode="External" /><Relationship Type="http://schemas.openxmlformats.org/officeDocument/2006/relationships/hyperlink" Id="rId13" Target="../studyguides/introtoquadratics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2026-07-06T08:08:06Z</dcterms:created>
  <dcterms:modified xsi:type="dcterms:W3CDTF">2026-07-06T08:08:06Z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