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Factorization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Note that you can rearrange the factorized brackets — the answer stays the same because the order of multiplication doesn’t matter.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=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  <m:r>
          <m:rPr>
            <m:sty m:val="p"/>
          </m:rPr>
          <m:t>=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  <m:r>
          <m:rPr>
            <m:sty m:val="p"/>
          </m:rPr>
          <m:t>=</m:t>
        </m:r>
        <m:r>
          <m:t>4</m:t>
        </m:r>
        <m:r>
          <m:t>w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a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Note that you can rearrange the factorized brackets — the answer stays the same because the order of multiplication doesn’t matter.</w:t>
      </w:r>
    </w:p>
    <w:p>
      <w:pPr>
        <w:pStyle w:val="BodyText"/>
      </w:pPr>
      <w:r>
        <w:t xml:space="preserve">2.1.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You worked out in 1.1 that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3.2. You worked out in 1.11 that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3.3. You worked out in 2.3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3.4. You worked out in 2.7 that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3.5. You worked out in 2.8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Pike,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factoriz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factoriz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Factorization</dc:title>
  <dc:creator>Millie Pike</dc:creator>
  <cp:keywords/>
  <dcterms:created xsi:type="dcterms:W3CDTF">2025-08-14T13:27:58Z</dcterms:created>
  <dcterms:modified xsi:type="dcterms:W3CDTF">2025-08-14T13:27:58Z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