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probability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probability.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probability.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33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(Note: accept all simplified fractions, or probabilities represented in decimal and percentage forms)</w:t>
      </w:r>
    </w:p>
    <w:p>
      <w:pPr>
        <w:pStyle w:val="BodyText"/>
      </w:pPr>
      <w:r>
        <w:rPr>
          <w:b/>
          <w:bCs/>
        </w:rPr>
        <w:t xml:space="preserve">1.1.</w:t>
      </w:r>
    </w:p>
    <w:p>
      <w:pPr>
        <w:pStyle w:val="CaptionedFigure"/>
      </w:pPr>
      <w:r>
        <w:drawing>
          <wp:inline>
            <wp:extent cx="1828800" cy="1605551"/>
            <wp:effectExtent b="0" l="0" r="0" t="0"/>
            <wp:docPr descr="Answer to Q1.1(a)" title="" id="22" name="Picture"/>
            <a:graphic>
              <a:graphicData uri="http://schemas.openxmlformats.org/drawingml/2006/picture">
                <pic:pic>
                  <pic:nvPicPr>
                    <pic:cNvPr descr="./FiguresPNG/qs-introtoprobability-1-1-5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05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Answer to Q1.1(a)</w:t>
      </w:r>
    </w:p>
    <w:p>
      <w:pPr>
        <w:pStyle w:val="CaptionedFigure"/>
      </w:pPr>
      <w:r>
        <w:drawing>
          <wp:inline>
            <wp:extent cx="3400711" cy="2938924"/>
            <wp:effectExtent b="0" l="0" r="0" t="0"/>
            <wp:docPr descr="Answer to Q1.1(b)" title="" id="25" name="Picture"/>
            <a:graphic>
              <a:graphicData uri="http://schemas.openxmlformats.org/drawingml/2006/picture">
                <pic:pic>
                  <pic:nvPicPr>
                    <pic:cNvPr descr="./FiguresPNG/qs-introtoprobability-1-2-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711" cy="2938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Answer to Q1.1(b)</w:t>
      </w:r>
    </w:p>
    <w:p>
      <w:pPr>
        <w:pStyle w:val="CaptionedFigure"/>
      </w:pPr>
      <w:r>
        <w:drawing>
          <wp:inline>
            <wp:extent cx="3238627" cy="2972564"/>
            <wp:effectExtent b="0" l="0" r="0" t="0"/>
            <wp:docPr descr="Answer to Q1.1(c)" title="" id="28" name="Picture"/>
            <a:graphic>
              <a:graphicData uri="http://schemas.openxmlformats.org/drawingml/2006/picture">
                <pic:pic>
                  <pic:nvPicPr>
                    <pic:cNvPr descr="./FiguresPNG/qs-introtoprobability-1-3-7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627" cy="2972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Answer to Q1.1(c)</w:t>
      </w:r>
    </w:p>
    <w:p>
      <w:pPr>
        <w:pStyle w:val="BodyText"/>
      </w:pPr>
      <w:r>
        <w:rPr>
          <w:b/>
          <w:bCs/>
        </w:rPr>
        <w:t xml:space="preserve">1.2.</w:t>
      </w:r>
    </w:p>
    <w:p>
      <w:pPr>
        <w:pStyle w:val="CaptionedFigure"/>
      </w:pPr>
      <w:r>
        <w:drawing>
          <wp:inline>
            <wp:extent cx="4312053" cy="2926691"/>
            <wp:effectExtent b="0" l="0" r="0" t="0"/>
            <wp:docPr descr="Answer to Q1.2" title="" id="31" name="Picture"/>
            <a:graphic>
              <a:graphicData uri="http://schemas.openxmlformats.org/drawingml/2006/picture">
                <pic:pic>
                  <pic:nvPicPr>
                    <pic:cNvPr descr="./FiguresPNG/qs-introtoprobability-1-4-8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053" cy="2926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Answer to Q1.2</w:t>
      </w:r>
    </w:p>
    <w:p>
      <w:pPr>
        <w:pStyle w:val="BodyText"/>
      </w:pPr>
      <w:r>
        <w:rPr>
          <w:b/>
          <w:bCs/>
        </w:rPr>
        <w:t xml:space="preserve">1.3.</w:t>
      </w:r>
    </w:p>
    <w:p>
      <w:pPr>
        <w:numPr>
          <w:ilvl w:val="0"/>
          <w:numId w:val="1004"/>
        </w:numPr>
      </w:pPr>
      <w:r>
        <w:t xml:space="preserve">The events in Q1.1.(b) are independent.</w:t>
      </w:r>
    </w:p>
    <w:p>
      <w:pPr>
        <w:numPr>
          <w:ilvl w:val="0"/>
          <w:numId w:val="1004"/>
        </w:numPr>
      </w:pPr>
      <w:r>
        <w:t xml:space="preserve">The events in Q1.1.(c) are dependent.</w:t>
      </w:r>
    </w:p>
    <w:p>
      <w:pPr>
        <w:numPr>
          <w:ilvl w:val="0"/>
          <w:numId w:val="1004"/>
        </w:numPr>
      </w:pPr>
      <w:r>
        <w:t xml:space="preserve">The events in Q1.2. are independent.</w:t>
      </w:r>
    </w:p>
    <w:p>
      <w:r>
        <w:pict>
          <v:rect style="width:0;height:1.5pt" o:hralign="center" o:hrstd="t" o:hr="t"/>
        </w:pict>
      </w:r>
    </w:p>
    <w:bookmarkEnd w:id="33"/>
    <w:bookmarkStart w:id="34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(Note: accept all simplified fractions, or probabilities represented in decimal and percentage forms)</w:t>
      </w:r>
    </w:p>
    <w:p>
      <w:pPr>
        <w:pStyle w:val="BodyText"/>
      </w:pPr>
      <w:r>
        <w:rPr>
          <w:b/>
          <w:bCs/>
        </w:rPr>
        <w:t xml:space="preserve">2.1.</w:t>
      </w:r>
    </w:p>
    <w:p>
      <w:pPr>
        <w:numPr>
          <w:ilvl w:val="0"/>
          <w:numId w:val="1005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gummy bear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</m:oMath>
      <w:r>
        <w:t xml:space="preserve">. Therefore, apply the complement rule to calculate the complement of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gummy bear</m:t>
            </m:r>
          </m:e>
        </m:d>
      </m:oMath>
      <w:r>
        <w:t xml:space="preserve">, so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gummy bear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numPr>
          <w:ilvl w:val="0"/>
          <w:numId w:val="1005"/>
        </w:numPr>
      </w:pPr>
      <w:r>
        <w:t xml:space="preserve">The probability of drawing a gummy ring the first time is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12</m:t>
            </m:r>
          </m:den>
        </m:f>
      </m:oMath>
      <w:r>
        <w:t xml:space="preserve">, and the probability of drawing a gummy ring the second time is also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12</m:t>
            </m:r>
          </m:den>
        </m:f>
      </m:oMath>
      <w:r>
        <w:t xml:space="preserve">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gummy ring and gummy ring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12</m:t>
                </m:r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12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144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</m:oMath>
      <w:r>
        <w:t xml:space="preserve">.</w:t>
      </w:r>
    </w:p>
    <w:p>
      <w:pPr>
        <w:numPr>
          <w:ilvl w:val="0"/>
          <w:numId w:val="1005"/>
        </w:numPr>
      </w:pPr>
      <w:r>
        <w:t xml:space="preserve">The probability of drawing a gummy bear the first time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</m:oMath>
      <w:r>
        <w:t xml:space="preserve">, and the probability of drawing a gummy worm the second time is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11</m:t>
            </m:r>
          </m:den>
        </m:f>
      </m:oMath>
      <w:r>
        <w:t xml:space="preserve">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gummy bear then gummy worm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12</m:t>
                </m:r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11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21</m:t>
            </m:r>
          </m:num>
          <m:den>
            <m:r>
              <m:t>132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44</m:t>
            </m:r>
          </m:den>
        </m:f>
      </m:oMath>
      <w:r>
        <w:t xml:space="preserve">.</w:t>
      </w:r>
    </w:p>
    <w:p>
      <w:pPr>
        <w:pStyle w:val="FirstParagraph"/>
      </w:pPr>
      <w:r>
        <w:rPr>
          <w:b/>
          <w:bCs/>
        </w:rPr>
        <w:t xml:space="preserve">2.2.</w:t>
      </w:r>
      <w:r>
        <w:t xml:space="preserve"> </w:t>
      </w:r>
      <w:r>
        <w:t xml:space="preserve">The probability of drawing a cola flavored jelly bean the first time is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30</m:t>
            </m:r>
          </m:den>
        </m:f>
      </m:oMath>
      <w:r>
        <w:t xml:space="preserve">, and the probability of drawing a strawberry flavored jelly bean the second time is</w:t>
      </w:r>
      <w:r>
        <w:t xml:space="preserve"> </w:t>
      </w:r>
      <m:oMath>
        <m:f>
          <m:fPr>
            <m:type m:val="bar"/>
          </m:fPr>
          <m:num>
            <m:r>
              <m:t>20</m:t>
            </m:r>
          </m:num>
          <m:den>
            <m:r>
              <m:t>38</m:t>
            </m:r>
          </m:den>
        </m:f>
      </m:oMath>
      <w:r>
        <w:t xml:space="preserve">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soda and strawberry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10</m:t>
                </m:r>
              </m:num>
              <m:den>
                <m:r>
                  <m:t>30</m:t>
                </m:r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20</m:t>
                </m:r>
              </m:num>
              <m:den>
                <m:r>
                  <m:t>38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200</m:t>
            </m:r>
          </m:num>
          <m:den>
            <m:r>
              <m:t>1140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57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34"/>
    <w:bookmarkStart w:id="35" w:name="q3"/>
    <w:p>
      <w:pPr>
        <w:pStyle w:val="Heading2"/>
      </w:pPr>
      <w:r>
        <w:t xml:space="preserve">Q3</w:t>
      </w:r>
    </w:p>
    <w:p>
      <w:pPr>
        <w:pStyle w:val="FirstParagraph"/>
      </w:pPr>
      <w:r>
        <w:rPr>
          <w:b/>
          <w:bCs/>
        </w:rPr>
        <w:t xml:space="preserve">3.1.</w:t>
      </w:r>
      <w:r>
        <w:t xml:space="preserve"> </w:t>
      </w:r>
      <w:r>
        <w:t xml:space="preserve">This is an example of experimental probability.</w:t>
      </w:r>
    </w:p>
    <w:p>
      <w:pPr>
        <w:pStyle w:val="BodyText"/>
      </w:pPr>
      <w:r>
        <w:rPr>
          <w:b/>
          <w:bCs/>
        </w:rPr>
        <w:t xml:space="preserve">3.2.</w:t>
      </w:r>
      <w:r>
        <w:t xml:space="preserve"> </w:t>
      </w:r>
      <w:r>
        <w:t xml:space="preserve">The total number of spins is 60, and it lands on white 17 times.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white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60</m:t>
            </m:r>
          </m:den>
        </m:f>
      </m:oMath>
      <w:r>
        <w:t xml:space="preserve">, so by the complement rule,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white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60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43</m:t>
            </m:r>
          </m:num>
          <m:den>
            <m:r>
              <m:t>60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3.3.</w:t>
      </w:r>
      <w:r>
        <w:t xml:space="preserve"> </w:t>
      </w:r>
      <w:r>
        <w:t xml:space="preserve">The spinner is unbiased (meaning the probability is uniform), so there are four possible colors that the spinner is equally likely to land on. Calculating the theoretical probability,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red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3.4.</w:t>
      </w:r>
      <w:r>
        <w:t xml:space="preserve"> </w:t>
      </w:r>
      <w:r>
        <w:t xml:space="preserve">As you spin the spinner more times, the experimental probabilities of each color will get closer to their theoretical probabilities.</w:t>
      </w:r>
    </w:p>
    <w:p>
      <w:r>
        <w:pict>
          <v:rect style="width:0;height:1.5pt" o:hralign="center" o:hrstd="t" o:hr="t"/>
        </w:pict>
      </w:r>
    </w:p>
    <w:bookmarkEnd w:id="35"/>
    <w:bookmarkStart w:id="36" w:name="q4"/>
    <w:p>
      <w:pPr>
        <w:pStyle w:val="Heading2"/>
      </w:pPr>
      <w:r>
        <w:t xml:space="preserve">Q4</w:t>
      </w:r>
    </w:p>
    <w:p>
      <w:pPr>
        <w:pStyle w:val="FirstParagraph"/>
      </w:pPr>
      <w:r>
        <w:rPr>
          <w:b/>
          <w:bCs/>
        </w:rPr>
        <w:t xml:space="preserve">4.1.</w:t>
      </w:r>
      <w:r>
        <w:t xml:space="preserve"> </w:t>
      </w:r>
      <w:r>
        <w:t xml:space="preserve">The sample space is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,</m:t>
        </m:r>
        <m:r>
          <m:t>9</m:t>
        </m:r>
        <m:r>
          <m:rPr>
            <m:sty m:val="p"/>
          </m:rPr>
          <m:t>,</m:t>
        </m:r>
        <m:r>
          <m:t>10</m:t>
        </m:r>
        <m:r>
          <m:rPr>
            <m:sty m:val="p"/>
          </m:rPr>
          <m:t>,</m:t>
        </m:r>
        <m:r>
          <m:t>11</m:t>
        </m:r>
        <m:r>
          <m:rPr>
            <m:sty m:val="p"/>
          </m:rPr>
          <m:t>,</m:t>
        </m:r>
        <m:r>
          <m:t>12</m:t>
        </m:r>
        <m:r>
          <m:rPr>
            <m:sty m:val="p"/>
          </m:rPr>
          <m:t>,</m:t>
        </m:r>
        <m:r>
          <m:t>13</m:t>
        </m:r>
        <m:r>
          <m:rPr>
            <m:sty m:val="p"/>
          </m:rPr>
          <m:t>,</m:t>
        </m:r>
        <m:r>
          <m:t>14</m:t>
        </m:r>
        <m:r>
          <m:rPr>
            <m:sty m:val="p"/>
          </m:rPr>
          <m:t>,</m:t>
        </m:r>
        <m:r>
          <m:t>15</m:t>
        </m:r>
        <m:r>
          <m:rPr>
            <m:sty m:val="p"/>
          </m:rPr>
          <m:t>,</m:t>
        </m:r>
        <m:r>
          <m:t>16</m:t>
        </m:r>
        <m:r>
          <m:rPr>
            <m:sty m:val="p"/>
          </m:rPr>
          <m:t>,</m:t>
        </m:r>
        <m:r>
          <m:t>17</m:t>
        </m:r>
        <m:r>
          <m:rPr>
            <m:sty m:val="p"/>
          </m:rPr>
          <m:t>,</m:t>
        </m:r>
        <m:r>
          <m:t>18</m:t>
        </m:r>
        <m:r>
          <m:rPr>
            <m:sty m:val="p"/>
          </m:rPr>
          <m:t>,</m:t>
        </m:r>
        <m:r>
          <m:t>19</m:t>
        </m:r>
        <m:r>
          <m:rPr>
            <m:sty m:val="p"/>
          </m:rPr>
          <m:t>,</m:t>
        </m:r>
        <m:r>
          <m:t>20</m:t>
        </m:r>
        <m:r>
          <m:rPr>
            <m:sty m:val="p"/>
          </m:rPr>
          <m:t>}</m:t>
        </m:r>
      </m:oMath>
      <w:r>
        <w:t xml:space="preserve">, which contains 20 possible outcomes. The subset of the sample space with a value above 12 is</w:t>
      </w:r>
      <w:r>
        <w:t xml:space="preserve"> </w:t>
      </w:r>
      <m:oMath>
        <m:r>
          <m:rPr>
            <m:sty m:val="p"/>
          </m:rPr>
          <m:t>{</m:t>
        </m:r>
        <m:r>
          <m:t>13</m:t>
        </m:r>
        <m:r>
          <m:rPr>
            <m:sty m:val="p"/>
          </m:rPr>
          <m:t>,</m:t>
        </m:r>
        <m:r>
          <m:t>14</m:t>
        </m:r>
        <m:r>
          <m:rPr>
            <m:sty m:val="p"/>
          </m:rPr>
          <m:t>,</m:t>
        </m:r>
        <m:r>
          <m:t>15</m:t>
        </m:r>
        <m:r>
          <m:rPr>
            <m:sty m:val="p"/>
          </m:rPr>
          <m:t>,</m:t>
        </m:r>
        <m:r>
          <m:t>16</m:t>
        </m:r>
        <m:r>
          <m:rPr>
            <m:sty m:val="p"/>
          </m:rPr>
          <m:t>,</m:t>
        </m:r>
        <m:r>
          <m:t>17</m:t>
        </m:r>
        <m:r>
          <m:rPr>
            <m:sty m:val="p"/>
          </m:rPr>
          <m:t>,</m:t>
        </m:r>
        <m:r>
          <m:t>18</m:t>
        </m:r>
        <m:r>
          <m:rPr>
            <m:sty m:val="p"/>
          </m:rPr>
          <m:t>,</m:t>
        </m:r>
        <m:r>
          <m:t>19</m:t>
        </m:r>
        <m:r>
          <m:rPr>
            <m:sty m:val="p"/>
          </m:rPr>
          <m:t>,</m:t>
        </m:r>
        <m:r>
          <m:t>20</m:t>
        </m:r>
        <m:r>
          <m:rPr>
            <m:sty m:val="p"/>
          </m:rPr>
          <m:t>}</m:t>
        </m:r>
      </m:oMath>
      <w:r>
        <w:t xml:space="preserve">, which contains 8 out of the 20 possible outcomes.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success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>
              <m:t>20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4.2.</w:t>
      </w:r>
      <w:r>
        <w:t xml:space="preserve"> </w:t>
      </w:r>
      <w:r>
        <w:t xml:space="preserve">The possible outcomes of the 5-sided dice roll are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}</m:t>
        </m:r>
      </m:oMath>
      <w:r>
        <w:t xml:space="preserve">. Adding 3 to each number, the sample space becomes</w:t>
      </w:r>
      <w:r>
        <w:t xml:space="preserve"> </w:t>
      </w:r>
      <m:oMath>
        <m:r>
          <m:rPr>
            <m:sty m:val="p"/>
          </m:rPr>
          <m:t>{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}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}</m:t>
        </m:r>
      </m:oMath>
      <w:r>
        <w:t xml:space="preserve">. The sample space contains 5 possible outcomes, and the subset of the sample space that contains values 5 and above is</w:t>
      </w:r>
      <w:r>
        <w:t xml:space="preserve"> </w:t>
      </w:r>
      <m:oMath>
        <m:r>
          <m:rPr>
            <m:sty m:val="p"/>
          </m:rPr>
          <m:t>{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}</m:t>
        </m:r>
      </m:oMath>
      <w:r>
        <w:t xml:space="preserve">, which contains 4 out of 5 possible outcomes.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≥</m:t>
            </m:r>
            <m:r>
              <m:t>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points of damage are dealt to the dragon.</w:t>
      </w:r>
    </w:p>
    <w:p>
      <w:pPr>
        <w:pStyle w:val="BodyText"/>
      </w:pPr>
      <w:r>
        <w:rPr>
          <w:b/>
          <w:bCs/>
        </w:rPr>
        <w:t xml:space="preserve">4.3.</w:t>
      </w:r>
      <w:r>
        <w:t xml:space="preserve"> </w:t>
      </w:r>
      <w:r>
        <w:t xml:space="preserve">Here is the sample space represented as a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(4,4)</w:t>
            </w:r>
          </w:p>
        </w:tc>
      </w:tr>
    </w:tbl>
    <w:p>
      <w:pPr>
        <w:pStyle w:val="BodyText"/>
      </w:pPr>
      <w:r>
        <w:t xml:space="preserve">For convenience purposes, all outcomes that do not contain a 4 are then marked with an asterisk (although any way of marking or counting these outcomes are acceptable):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(1,1)*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(1,2)*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(1,3)*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(2,1)*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(2,2)*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(2,3)*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(3,1)*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(3,2)*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(3,3)*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(4,4)</w:t>
            </w:r>
          </w:p>
        </w:tc>
      </w:tr>
    </w:tbl>
    <w:p>
      <w:pPr>
        <w:pStyle w:val="BodyText"/>
      </w:pPr>
      <w:r>
        <w:t xml:space="preserve">There are 16 total possible outcomes in the sample space, and there are 9 outcomes that do not contain a 4.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failure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4.4.</w:t>
      </w:r>
      <w:r>
        <w:t xml:space="preserve"> </w:t>
      </w:r>
      <w:r>
        <w:t xml:space="preserve">Here is the sample space represented as a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(9,4)</w:t>
            </w:r>
          </w:p>
        </w:tc>
      </w:tr>
    </w:tbl>
    <w:p>
      <w:pPr>
        <w:pStyle w:val="BodyText"/>
      </w:pPr>
      <w:r>
        <w:t xml:space="preserve">The results of the two dice rolls can then be added together: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</w:tr>
    </w:tbl>
    <w:p>
      <w:pPr>
        <w:pStyle w:val="BodyText"/>
      </w:pPr>
      <w:r>
        <w:t xml:space="preserve">For convenience purposes, all outcomes with skill levels that are greater than 9 are then marked with an asterisk (although any way of marking or counting these outcomes are acceptable):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13*</w:t>
            </w:r>
          </w:p>
        </w:tc>
      </w:tr>
    </w:tbl>
    <w:p>
      <w:pPr>
        <w:pStyle w:val="BodyText"/>
      </w:pPr>
      <w:r>
        <w:t xml:space="preserve">There are 36 total possible outcomes in the sample space, and there are 10 outcomes where the skill level exceeds 9 points.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9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36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18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the number of skill level points.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6"/>
    <w:bookmarkStart w:id="38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04/25 by Michelle Arnetta as part of a University of St Andrews VIP project.</w:t>
      </w:r>
    </w:p>
    <w:p>
      <w:pPr>
        <w:pStyle w:val="BodyText"/>
      </w:pPr>
      <w:hyperlink r:id="rId37">
        <w:r>
          <w:rPr>
            <w:rStyle w:val="Hyperlink"/>
          </w:rPr>
          <w:t xml:space="preserve">This work is licensed under CC BY-NC-SA 4.0.</w:t>
        </w:r>
      </w:hyperlink>
    </w:p>
    <w:bookmarkEnd w:id="3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732">
    <w:nsid w:val="00A99732"/>
    <w:multiLevelType w:val="multilevel"/>
    <w:lvl w:ilvl="0">
      <w:start w:val="2"/>
      <w:numFmt w:val="lowerLetter"/>
      <w:lvlText w:val="(%1)"/>
      <w:lvlJc w:val="left"/>
      <w:pPr>
        <w:ind w:left="720" w:hanging="360"/>
      </w:pPr>
    </w:lvl>
    <w:lvl w:ilvl="1">
      <w:start w:val="2"/>
      <w:numFmt w:val="lowerLetter"/>
      <w:lvlText w:val="(%2)"/>
      <w:lvlJc w:val="left"/>
      <w:pPr>
        <w:ind w:left="1440" w:hanging="360"/>
      </w:pPr>
    </w:lvl>
    <w:lvl w:ilvl="2">
      <w:start w:val="2"/>
      <w:numFmt w:val="lowerLetter"/>
      <w:lvlText w:val="(%3)"/>
      <w:lvlJc w:val="left"/>
      <w:pPr>
        <w:ind w:left="2160" w:hanging="360"/>
      </w:pPr>
    </w:lvl>
    <w:lvl w:ilvl="3">
      <w:start w:val="2"/>
      <w:numFmt w:val="lowerLetter"/>
      <w:lvlText w:val="(%4)"/>
      <w:lvlJc w:val="left"/>
      <w:pPr>
        <w:ind w:left="2880" w:hanging="360"/>
      </w:pPr>
    </w:lvl>
    <w:lvl w:ilvl="4">
      <w:start w:val="2"/>
      <w:numFmt w:val="lowerLetter"/>
      <w:lvlText w:val="(%5)"/>
      <w:lvlJc w:val="left"/>
      <w:pPr>
        <w:ind w:left="3600" w:hanging="360"/>
      </w:pPr>
    </w:lvl>
    <w:lvl w:ilvl="5">
      <w:start w:val="2"/>
      <w:numFmt w:val="lowerLetter"/>
      <w:lvlText w:val="(%6)"/>
      <w:lvlJc w:val="left"/>
      <w:pPr>
        <w:ind w:left="4320" w:hanging="360"/>
      </w:pPr>
    </w:lvl>
    <w:lvl w:ilvl="6">
      <w:start w:val="2"/>
      <w:numFmt w:val="lowerLetter"/>
      <w:lvlText w:val="(%7)"/>
      <w:lvlJc w:val="left"/>
      <w:pPr>
        <w:ind w:left="5040" w:hanging="360"/>
      </w:pPr>
    </w:lvl>
    <w:lvl w:ilvl="7">
      <w:start w:val="2"/>
      <w:numFmt w:val="lowerLetter"/>
      <w:lvlText w:val="(%8)"/>
      <w:lvlJc w:val="left"/>
      <w:pPr>
        <w:ind w:left="5760" w:hanging="360"/>
      </w:pPr>
    </w:lvl>
    <w:lvl w:ilvl="8">
      <w:start w:val="2"/>
      <w:numFmt w:val="lowerLetter"/>
      <w:lvlText w:val="(%9)"/>
      <w:lvlJc w:val="left"/>
      <w:pPr>
        <w:ind w:left="6480" w:hanging="360"/>
      </w:pPr>
    </w:lvl>
  </w:abstractNum>
  <w:abstractNum w:abstractNumId="99733">
    <w:nsid w:val="00A99733"/>
    <w:multiLevelType w:val="multilevel"/>
    <w:lvl w:ilvl="0">
      <w:start w:val="3"/>
      <w:numFmt w:val="lowerLetter"/>
      <w:lvlText w:val="(%1)"/>
      <w:lvlJc w:val="left"/>
      <w:pPr>
        <w:ind w:left="720" w:hanging="360"/>
      </w:pPr>
    </w:lvl>
    <w:lvl w:ilvl="1">
      <w:start w:val="3"/>
      <w:numFmt w:val="lowerLetter"/>
      <w:lvlText w:val="(%2)"/>
      <w:lvlJc w:val="left"/>
      <w:pPr>
        <w:ind w:left="1440" w:hanging="360"/>
      </w:pPr>
    </w:lvl>
    <w:lvl w:ilvl="2">
      <w:start w:val="3"/>
      <w:numFmt w:val="lowerLetter"/>
      <w:lvlText w:val="(%3)"/>
      <w:lvlJc w:val="left"/>
      <w:pPr>
        <w:ind w:left="2160" w:hanging="360"/>
      </w:pPr>
    </w:lvl>
    <w:lvl w:ilvl="3">
      <w:start w:val="3"/>
      <w:numFmt w:val="lowerLetter"/>
      <w:lvlText w:val="(%4)"/>
      <w:lvlJc w:val="left"/>
      <w:pPr>
        <w:ind w:left="2880" w:hanging="360"/>
      </w:pPr>
    </w:lvl>
    <w:lvl w:ilvl="4">
      <w:start w:val="3"/>
      <w:numFmt w:val="lowerLetter"/>
      <w:lvlText w:val="(%5)"/>
      <w:lvlJc w:val="left"/>
      <w:pPr>
        <w:ind w:left="3600" w:hanging="360"/>
      </w:pPr>
    </w:lvl>
    <w:lvl w:ilvl="5">
      <w:start w:val="3"/>
      <w:numFmt w:val="lowerLetter"/>
      <w:lvlText w:val="(%6)"/>
      <w:lvlJc w:val="left"/>
      <w:pPr>
        <w:ind w:left="4320" w:hanging="360"/>
      </w:pPr>
    </w:lvl>
    <w:lvl w:ilvl="6">
      <w:start w:val="3"/>
      <w:numFmt w:val="lowerLetter"/>
      <w:lvlText w:val="(%7)"/>
      <w:lvlJc w:val="left"/>
      <w:pPr>
        <w:ind w:left="5040" w:hanging="360"/>
      </w:pPr>
    </w:lvl>
    <w:lvl w:ilvl="7">
      <w:start w:val="3"/>
      <w:numFmt w:val="lowerLetter"/>
      <w:lvlText w:val="(%8)"/>
      <w:lvlJc w:val="left"/>
      <w:pPr>
        <w:ind w:left="5760" w:hanging="360"/>
      </w:pPr>
    </w:lvl>
    <w:lvl w:ilvl="8">
      <w:start w:val="3"/>
      <w:numFmt w:val="lowerLetter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0" Target="../questions/qs-introtoprobability.qmd" TargetMode="External" /><Relationship Type="http://schemas.openxmlformats.org/officeDocument/2006/relationships/hyperlink" Id="rId37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probability.qmd" TargetMode="External" /><Relationship Type="http://schemas.openxmlformats.org/officeDocument/2006/relationships/hyperlink" Id="rId37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probability</dc:title>
  <dc:creator>Michelle Arnetta</dc:creator>
  <cp:keywords/>
  <dcterms:created xsi:type="dcterms:W3CDTF">2025-08-22T13:58:04Z</dcterms:created>
  <dcterms:modified xsi:type="dcterms:W3CDTF">2025-08-22T13:58:04Z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probability.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