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probability.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33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1.1.</w:t>
      </w:r>
    </w:p>
    <w:p>
      <w:pPr>
        <w:pStyle w:val="CaptionedFigure"/>
      </w:pPr>
      <w:r>
        <w:drawing>
          <wp:inline>
            <wp:extent cx="1828800" cy="1605551"/>
            <wp:effectExtent b="0" l="0" r="0" t="0"/>
            <wp:docPr descr="Answer to Q1.1(a)" title="" id="22" name="Picture"/>
            <a:graphic>
              <a:graphicData uri="http://schemas.openxmlformats.org/drawingml/2006/picture">
                <pic:pic>
                  <pic:nvPicPr>
                    <pic:cNvPr descr="./FiguresPNG/qs-introtoprobability-1-1-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Q1.1(a)</w:t>
      </w:r>
    </w:p>
    <w:p>
      <w:pPr>
        <w:pStyle w:val="CaptionedFigure"/>
      </w:pPr>
      <w:r>
        <w:drawing>
          <wp:inline>
            <wp:extent cx="3400711" cy="2938924"/>
            <wp:effectExtent b="0" l="0" r="0" t="0"/>
            <wp:docPr descr="Answer to Q1.1(b)" title="" id="25" name="Picture"/>
            <a:graphic>
              <a:graphicData uri="http://schemas.openxmlformats.org/drawingml/2006/picture">
                <pic:pic>
                  <pic:nvPicPr>
                    <pic:cNvPr descr="./FiguresPNG/qs-introtoprobability-1-2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11" cy="293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Q1.1(b)</w:t>
      </w:r>
    </w:p>
    <w:p>
      <w:pPr>
        <w:pStyle w:val="CaptionedFigure"/>
      </w:pPr>
      <w:r>
        <w:drawing>
          <wp:inline>
            <wp:extent cx="3238627" cy="2972564"/>
            <wp:effectExtent b="0" l="0" r="0" t="0"/>
            <wp:docPr descr="Answer to Q1.1(c)" title="" id="28" name="Picture"/>
            <a:graphic>
              <a:graphicData uri="http://schemas.openxmlformats.org/drawingml/2006/picture">
                <pic:pic>
                  <pic:nvPicPr>
                    <pic:cNvPr descr="./FiguresPNG/qs-introtoprobability-1-3-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27" cy="297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Q1.1(c)</w:t>
      </w:r>
    </w:p>
    <w:p>
      <w:pPr>
        <w:pStyle w:val="BodyText"/>
      </w:pPr>
      <w:r>
        <w:rPr>
          <w:b/>
          <w:bCs/>
        </w:rPr>
        <w:t xml:space="preserve">1.2.</w:t>
      </w:r>
    </w:p>
    <w:p>
      <w:pPr>
        <w:pStyle w:val="CaptionedFigure"/>
      </w:pPr>
      <w:r>
        <w:drawing>
          <wp:inline>
            <wp:extent cx="4312053" cy="2926691"/>
            <wp:effectExtent b="0" l="0" r="0" t="0"/>
            <wp:docPr descr="Answer to Q1.2" title="" id="31" name="Picture"/>
            <a:graphic>
              <a:graphicData uri="http://schemas.openxmlformats.org/drawingml/2006/picture">
                <pic:pic>
                  <pic:nvPicPr>
                    <pic:cNvPr descr="./FiguresPNG/qs-introtoprobability-1-4-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53" cy="292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Q1.2</w:t>
      </w:r>
    </w:p>
    <w:p>
      <w:pPr>
        <w:pStyle w:val="BodyText"/>
      </w:pPr>
      <w:r>
        <w:rPr>
          <w:b/>
          <w:bCs/>
        </w:rPr>
        <w:t xml:space="preserve">1.3.</w:t>
      </w:r>
    </w:p>
    <w:p>
      <w:pPr>
        <w:numPr>
          <w:ilvl w:val="0"/>
          <w:numId w:val="1004"/>
        </w:numPr>
      </w:pPr>
      <w:r>
        <w:t xml:space="preserve">The events in Q1.1.(b) are independent.</w:t>
      </w:r>
    </w:p>
    <w:p>
      <w:pPr>
        <w:numPr>
          <w:ilvl w:val="0"/>
          <w:numId w:val="1004"/>
        </w:numPr>
      </w:pPr>
      <w:r>
        <w:t xml:space="preserve">The events in Q1.1.(c) are dependent.</w:t>
      </w:r>
    </w:p>
    <w:p>
      <w:pPr>
        <w:numPr>
          <w:ilvl w:val="0"/>
          <w:numId w:val="1004"/>
        </w:numPr>
      </w:pPr>
      <w:r>
        <w:t xml:space="preserve">The events in Q1.2. are independent.</w:t>
      </w:r>
    </w:p>
    <w:p>
      <w:r>
        <w:pict>
          <v:rect style="width:0;height:1.5pt" o:hralign="center" o:hrstd="t" o:hr="t"/>
        </w:pict>
      </w:r>
    </w:p>
    <w:bookmarkEnd w:id="33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2.1.</w:t>
      </w:r>
    </w:p>
    <w:p>
      <w:pPr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Therefore, apply the complement rule to calculate the complement of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</m:oMath>
      <w:r>
        <w:t xml:space="preserve">, so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ring the first time is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, and the probability of drawing a gummy ring the second time is also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ring and gummy ring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144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bear the first time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, and the probability of drawing a gummy worm the second time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 then gummy worm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11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132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2.2.</w:t>
      </w:r>
      <w:r>
        <w:t xml:space="preserve"> </w:t>
      </w:r>
      <w:r>
        <w:t xml:space="preserve">The probability of drawing a cola flavored jelly bean the first time is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30</m:t>
            </m:r>
          </m:den>
        </m:f>
      </m:oMath>
      <w:r>
        <w:t xml:space="preserve">, and the probability of drawing a strawberry flavored jelly bean the second time is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38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soda and strawberry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30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38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</m:num>
          <m:den>
            <m:r>
              <m:t>1140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q3"/>
    <w:p>
      <w:pPr>
        <w:pStyle w:val="Heading2"/>
      </w:pPr>
      <w:r>
        <w:t xml:space="preserve">Q3</w:t>
      </w:r>
    </w:p>
    <w:p>
      <w:pPr>
        <w:pStyle w:val="FirstParagraph"/>
      </w:pPr>
      <w:r>
        <w:rPr>
          <w:b/>
          <w:bCs/>
        </w:rPr>
        <w:t xml:space="preserve">3.1.</w:t>
      </w:r>
      <w:r>
        <w:t xml:space="preserve"> </w:t>
      </w:r>
      <w:r>
        <w:t xml:space="preserve">This is an example of experimental probability.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The total number of spins is 60, and it lands on white 17 times.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</m:oMath>
      <w:r>
        <w:t xml:space="preserve">, so by the complement rule,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The spinner is unbiased (meaning the probability is uniform), so there are four possible colors that the spinner is equally likely to land on. Calculating the theoretical probability,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As you spin the spinner more times, the experimental probabilities of each color will get closer to their theoretical probabilities.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q4"/>
    <w:p>
      <w:pPr>
        <w:pStyle w:val="Heading2"/>
      </w:pPr>
      <w:r>
        <w:t xml:space="preserve">Q4</w:t>
      </w:r>
    </w:p>
    <w:p>
      <w:pPr>
        <w:pStyle w:val="FirstParagraph"/>
      </w:pPr>
      <w:r>
        <w:rPr>
          <w:b/>
          <w:bCs/>
        </w:rPr>
        <w:t xml:space="preserve">4.1.</w:t>
      </w:r>
      <w:r>
        <w:t xml:space="preserve"> </w:t>
      </w:r>
      <w:r>
        <w:t xml:space="preserve">The sample space is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20 possible outcomes. The subset of the sample space with a value above 12 is</w:t>
      </w:r>
      <w:r>
        <w:t xml:space="preserve"> </w:t>
      </w:r>
      <m:oMath>
        <m:r>
          <m:rPr>
            <m:sty m:val="p"/>
          </m:rPr>
          <m:t>{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8 out of the 20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success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4.2.</w:t>
      </w:r>
      <w:r>
        <w:t xml:space="preserve"> </w:t>
      </w:r>
      <w:r>
        <w:t xml:space="preserve">The possible outcomes of the 5-sided dice roll are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Adding 3 to each number, the sample space becomes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The sample space contains 5 possible outcomes, and the subset of the sample space that contains values 5 and above is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 which contains 4 out of 5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points of damage are dealt to the dragon.</w:t>
      </w:r>
    </w:p>
    <w:p>
      <w:pPr>
        <w:pStyle w:val="BodyText"/>
      </w:pPr>
      <w:r>
        <w:rPr>
          <w:b/>
          <w:bCs/>
        </w:rPr>
        <w:t xml:space="preserve">4.3.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For convenience purposes, all outcomes that do not contain a 4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There are 16 total possible outcomes in the sample space, and there are 9 outcomes that do not contain a 4.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failure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4.4.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(9,4)</w:t>
            </w:r>
          </w:p>
        </w:tc>
      </w:tr>
    </w:tbl>
    <w:p>
      <w:pPr>
        <w:pStyle w:val="BodyText"/>
      </w:pPr>
      <w:r>
        <w:t xml:space="preserve">The results of the two dice rolls can then be added together: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For convenience purposes, all outcomes with skill levels that are greater than 9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13*</w:t>
            </w:r>
          </w:p>
        </w:tc>
      </w:tr>
    </w:tbl>
    <w:p>
      <w:pPr>
        <w:pStyle w:val="BodyText"/>
      </w:pPr>
      <w:r>
        <w:t xml:space="preserve">There are 36 total possible outcomes in the sample space, and there are 10 outcomes where the skill level exceeds 9 points.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9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skill level points.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Michelle Arnetta as part of a University of St Andrews VIP project.</w:t>
      </w:r>
    </w:p>
    <w:p>
      <w:pPr>
        <w:pStyle w:val="BodyText"/>
      </w:pPr>
      <w:hyperlink r:id="rId37">
        <w:r>
          <w:rPr>
            <w:rStyle w:val="Hyperlink"/>
          </w:rPr>
          <w:t xml:space="preserve">This work is licensed under CC BY-NC-SA 4.0.</w:t>
        </w:r>
      </w:hyperlink>
    </w:p>
    <w:bookmarkEnd w:id="3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732">
    <w:nsid w:val="00A99732"/>
    <w:multiLevelType w:val="multilevel"/>
    <w:lvl w:ilvl="0">
      <w:start w:val="2"/>
      <w:numFmt w:val="lowerLetter"/>
      <w:lvlText w:val="(%1)"/>
      <w:lvlJc w:val="left"/>
      <w:pPr>
        <w:ind w:left="720" w:hanging="360"/>
      </w:pPr>
    </w:lvl>
    <w:lvl w:ilvl="1">
      <w:start w:val="2"/>
      <w:numFmt w:val="lowerLetter"/>
      <w:lvlText w:val="(%2)"/>
      <w:lvlJc w:val="left"/>
      <w:pPr>
        <w:ind w:left="1440" w:hanging="360"/>
      </w:pPr>
    </w:lvl>
    <w:lvl w:ilvl="2">
      <w:start w:val="2"/>
      <w:numFmt w:val="lowerLetter"/>
      <w:lvlText w:val="(%3)"/>
      <w:lvlJc w:val="left"/>
      <w:pPr>
        <w:ind w:left="2160" w:hanging="360"/>
      </w:pPr>
    </w:lvl>
    <w:lvl w:ilvl="3">
      <w:start w:val="2"/>
      <w:numFmt w:val="lowerLetter"/>
      <w:lvlText w:val="(%4)"/>
      <w:lvlJc w:val="left"/>
      <w:pPr>
        <w:ind w:left="2880" w:hanging="360"/>
      </w:pPr>
    </w:lvl>
    <w:lvl w:ilvl="4">
      <w:start w:val="2"/>
      <w:numFmt w:val="lowerLetter"/>
      <w:lvlText w:val="(%5)"/>
      <w:lvlJc w:val="left"/>
      <w:pPr>
        <w:ind w:left="3600" w:hanging="360"/>
      </w:pPr>
    </w:lvl>
    <w:lvl w:ilvl="5">
      <w:start w:val="2"/>
      <w:numFmt w:val="lowerLetter"/>
      <w:lvlText w:val="(%6)"/>
      <w:lvlJc w:val="left"/>
      <w:pPr>
        <w:ind w:left="4320" w:hanging="360"/>
      </w:pPr>
    </w:lvl>
    <w:lvl w:ilvl="6">
      <w:start w:val="2"/>
      <w:numFmt w:val="lowerLetter"/>
      <w:lvlText w:val="(%7)"/>
      <w:lvlJc w:val="left"/>
      <w:pPr>
        <w:ind w:left="5040" w:hanging="360"/>
      </w:pPr>
    </w:lvl>
    <w:lvl w:ilvl="7">
      <w:start w:val="2"/>
      <w:numFmt w:val="lowerLetter"/>
      <w:lvlText w:val="(%8)"/>
      <w:lvlJc w:val="left"/>
      <w:pPr>
        <w:ind w:left="5760" w:hanging="360"/>
      </w:pPr>
    </w:lvl>
    <w:lvl w:ilvl="8">
      <w:start w:val="2"/>
      <w:numFmt w:val="lowerLetter"/>
      <w:lvlText w:val="(%9)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probability</dc:title>
  <dc:creator>Michelle Arnetta</dc:creator>
  <cp:keywords/>
  <dcterms:created xsi:type="dcterms:W3CDTF">2025-08-28T15:18:14Z</dcterms:created>
  <dcterms:modified xsi:type="dcterms:W3CDTF">2025-08-28T15:18:14Z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