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Answers: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</w:t>
      </w:r>
    </w:p>
    <w:p>
      <w:pPr>
        <w:pStyle w:val="Author"/>
      </w:pPr>
      <w:r>
        <w:t xml:space="preserve">Maximilian</w:t>
      </w:r>
      <w:r>
        <w:t xml:space="preserve"> </w:t>
      </w:r>
      <w:r>
        <w:t xml:space="preserve">Volmar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Answers</w:t>
      </w:r>
      <w:r>
        <w:t xml:space="preserve"> </w:t>
      </w:r>
      <w:r>
        <w:t xml:space="preserve">to</w:t>
      </w:r>
      <w:r>
        <w:t xml:space="preserve"> </w:t>
      </w:r>
      <w:r>
        <w:t xml:space="preserve">questions</w:t>
      </w:r>
      <w:r>
        <w:t xml:space="preserve"> </w:t>
      </w:r>
      <w:r>
        <w:t xml:space="preserve">relating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rationalizing</w:t>
      </w:r>
      <w:r>
        <w:t xml:space="preserve"> </w:t>
      </w:r>
      <w:r>
        <w:t xml:space="preserve">the</w:t>
      </w:r>
      <w:r>
        <w:t xml:space="preserve"> </w:t>
      </w:r>
      <w:r>
        <w:t xml:space="preserve">denominator.</w:t>
      </w:r>
    </w:p>
    <w:p>
      <w:pPr>
        <w:pStyle w:val="FirstParagraph"/>
      </w:pPr>
      <w:r>
        <w:rPr>
          <w:i/>
          <w:iCs/>
        </w:rPr>
        <w:t xml:space="preserve">These are the answers to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Questions: Rationalizing the denominator</w:t>
        </w:r>
      </w:hyperlink>
      <w:r>
        <w:rPr>
          <w:i/>
          <w:iCs/>
        </w:rPr>
        <w:t xml:space="preserve">.</w:t>
      </w:r>
    </w:p>
    <w:p>
      <w:pPr>
        <w:pStyle w:val="BodyText"/>
      </w:pPr>
      <w:r>
        <w:rPr>
          <w:b/>
          <w:bCs/>
        </w:rPr>
        <w:t xml:space="preserve">Please attempt the questions before reading these answers!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1.1.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11</m:t>
            </m:r>
          </m:num>
          <m:den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11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28</m:t>
            </m:r>
          </m:den>
        </m:f>
      </m:oMath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15</m:t>
            </m:r>
          </m:den>
        </m:f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9</m:t>
            </m:r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12</m:t>
            </m:r>
          </m:num>
          <m:den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11</m:t>
            </m:r>
          </m:den>
        </m:f>
      </m:oMath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</m:oMath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15</m:t>
            </m:r>
          </m:num>
          <m:den>
            <m:r>
              <m:t>3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1.13.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18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9</m:t>
                </m:r>
              </m:e>
            </m:rad>
          </m:den>
        </m:f>
        <m:r>
          <m:rPr>
            <m:sty m:val="p"/>
          </m:rPr>
          <m:t>=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30</m:t>
                </m:r>
              </m:e>
            </m:rad>
          </m:num>
          <m:den>
            <m:r>
              <m:t>3</m:t>
            </m:r>
          </m:den>
        </m:f>
      </m:oMath>
    </w:p>
    <w:p>
      <w:pPr>
        <w:pStyle w:val="BodyText"/>
      </w:pPr>
      <w:r>
        <w:t xml:space="preserve">1.15.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</m:oMath>
    </w:p>
    <w:p>
      <w:pPr>
        <w:pStyle w:val="BodyText"/>
      </w:pPr>
      <w:r>
        <w:t xml:space="preserve">1.16.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10</m:t>
            </m:r>
          </m:num>
          <m:den>
            <m:r>
              <m:t>5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13</m:t>
                </m:r>
              </m:e>
            </m:rad>
          </m:num>
          <m:den>
            <m:r>
              <m:t>13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2.1.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r>
          <m:t>10</m:t>
        </m:r>
        <m:r>
          <m:rPr>
            <m:sty m:val="p"/>
          </m:rPr>
          <m:t>−</m:t>
        </m:r>
        <m:r>
          <m:t>5</m:t>
        </m:r>
        <m:rad>
          <m:radPr>
            <m:degHide m:val="on"/>
          </m:radPr>
          <m:deg/>
          <m:e>
            <m:r>
              <m:t>3</m:t>
            </m:r>
          </m:e>
        </m:rad>
      </m:oMath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7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</m:num>
          <m:den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+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4</m:t>
            </m:r>
          </m:den>
        </m:f>
      </m:oMath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num>
          <m:den>
            <m:r>
              <m:t>2</m:t>
            </m:r>
          </m:den>
        </m:f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1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12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−</m:t>
            </m:r>
            <m:r>
              <m:t>6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  <m:r>
              <m:rPr>
                <m:sty m:val="p"/>
              </m:rPr>
              <m:t>−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10</m:t>
            </m:r>
          </m:den>
        </m:f>
      </m:oMath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8</m:t>
            </m:r>
          </m:num>
          <m:den>
            <m:r>
              <m:t>3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r>
          <m:t>12</m:t>
        </m:r>
        <m:r>
          <m:rPr>
            <m:sty m:val="p"/>
          </m:rPr>
          <m:t>+</m:t>
        </m:r>
        <m:r>
          <m:t>4</m:t>
        </m:r>
        <m:rad>
          <m:radPr>
            <m:degHide m:val="on"/>
          </m:radPr>
          <m:deg/>
          <m:e>
            <m:r>
              <m:t>7</m:t>
            </m:r>
          </m:e>
        </m:rad>
      </m:oMath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6</m:t>
            </m:r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12</m:t>
        </m:r>
        <m:r>
          <m:rPr>
            <m:sty m:val="p"/>
          </m:rPr>
          <m:t>+</m:t>
        </m:r>
        <m:r>
          <m:t>6</m:t>
        </m:r>
        <m:rad>
          <m:radPr>
            <m:degHide m:val="on"/>
          </m:radPr>
          <m:deg/>
          <m:e>
            <m:r>
              <m:t>5</m:t>
            </m:r>
          </m:e>
        </m:rad>
      </m:oMath>
    </w:p>
    <w:p>
      <w:pPr>
        <w:pStyle w:val="BodyText"/>
      </w:pPr>
      <w:r>
        <w:t xml:space="preserve">2.9.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>
              <m:t>3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num>
          <m:den>
            <m:r>
              <m:t>7</m:t>
            </m:r>
          </m:den>
        </m:f>
      </m:oMath>
    </w:p>
    <w:p>
      <w:pPr>
        <w:pStyle w:val="BodyText"/>
      </w:pPr>
      <w:r>
        <w:t xml:space="preserve">2.10.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1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6</m:t>
            </m:r>
          </m:den>
        </m:f>
      </m:oMath>
    </w:p>
    <w:p>
      <w:pPr>
        <w:pStyle w:val="BodyText"/>
      </w:pPr>
      <w:r>
        <w:t xml:space="preserve">2.11.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>
              <m:t>2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</m:den>
        </m:f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6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5</m:t>
            </m:r>
          </m:e>
        </m:rad>
        <m:r>
          <m:rPr>
            <m:sty m:val="p"/>
          </m:rPr>
          <m:t>+</m:t>
        </m:r>
        <m:r>
          <m:t>2</m:t>
        </m:r>
        <m:rad>
          <m:radPr>
            <m:degHide m:val="on"/>
          </m:radPr>
          <m:deg/>
          <m:e>
            <m:r>
              <m:t>2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10</m:t>
            </m:r>
          </m:e>
        </m:rad>
      </m:oMath>
    </w:p>
    <w:p>
      <w:pPr>
        <w:pStyle w:val="BodyText"/>
      </w:pPr>
      <w:r>
        <w:t xml:space="preserve">2.12.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4</m:t>
            </m:r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20</m:t>
            </m:r>
          </m:num>
          <m:den>
            <m:r>
              <m:t>18</m:t>
            </m:r>
          </m:den>
        </m:f>
      </m:oMath>
    </w:p>
    <w:p>
      <w:pPr>
        <w:pStyle w:val="BodyText"/>
      </w:pPr>
      <w:r>
        <w:t xml:space="preserve">2.13.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2</m:t>
            </m:r>
          </m:num>
          <m:den>
            <m:r>
              <m:t>4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11</m:t>
                </m:r>
              </m:e>
            </m:rad>
          </m:num>
          <m:den>
            <m:r>
              <m:t>5</m:t>
            </m:r>
          </m:den>
        </m:f>
      </m:oMath>
    </w:p>
    <w:p>
      <w:pPr>
        <w:pStyle w:val="BodyText"/>
      </w:pPr>
      <w:r>
        <w:t xml:space="preserve">2.14.</w:t>
      </w:r>
      <w:r>
        <w:t xml:space="preserve"> </w:t>
      </w:r>
      <m:oMath>
        <m:r>
          <m:t> </m:t>
        </m:r>
        <m:f>
          <m:fPr>
            <m:type m:val="bar"/>
          </m:fPr>
          <m:num>
            <m:rad>
              <m:radPr>
                <m:degHide m:val="on"/>
              </m:radPr>
              <m:deg/>
              <m:e>
                <m:r>
                  <m:t>8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7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  <m:rad>
              <m:radPr>
                <m:degHide m:val="on"/>
              </m:radPr>
              <m:deg/>
              <m:e>
                <m:r>
                  <m:t>14</m:t>
                </m:r>
              </m:e>
            </m:rad>
            <m:r>
              <m:rPr>
                <m:sty m:val="p"/>
              </m:rPr>
              <m:t>+</m:t>
            </m:r>
            <m:r>
              <m:t>4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  <m:r>
              <m:rPr>
                <m:sty m:val="p"/>
              </m:rPr>
              <m:t>+</m:t>
            </m:r>
            <m:rad>
              <m:radPr>
                <m:degHide m:val="on"/>
              </m:radPr>
              <m:deg/>
              <m:e>
                <m:r>
                  <m:t>21</m:t>
                </m:r>
              </m:e>
            </m:rad>
            <m:r>
              <m:rPr>
                <m:sty m:val="p"/>
              </m:rPr>
              <m:t>+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num>
          <m:den>
            <m:r>
              <m:t>3</m:t>
            </m:r>
          </m:den>
        </m:f>
      </m:oMath>
    </w:p>
    <w:p>
      <w:r>
        <w:pict>
          <v:rect style="width:0;height:1.5pt" o:hralign="center" o:hrstd="t" o:hr="t"/>
        </w:pic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3.1.</w:t>
      </w:r>
      <w:r>
        <w:t xml:space="preserve"> </w:t>
      </w:r>
      <m:oMath>
        <m:r>
          <m:t> </m:t>
        </m:r>
      </m:oMath>
      <w:r>
        <w:t xml:space="preserve"> </w:t>
      </w:r>
      <w:r>
        <w:t xml:space="preserve">To prove this equation, rationalize the denominator of the left hand side of the equation.</w:t>
      </w:r>
    </w:p>
    <w:p>
      <w:pPr>
        <w:pStyle w:val="BodyText"/>
      </w:pPr>
      <w:r>
        <w:t xml:space="preserve">Since the denominator contains two square roots you can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to rationalize the denominator.</w:t>
      </w:r>
    </w:p>
    <w:p>
      <w:pPr>
        <w:pStyle w:val="BodyText"/>
      </w:pPr>
      <w:r>
        <w:t xml:space="preserve">If you multiply the numerator and denominator by</w:t>
      </w:r>
      <w:r>
        <w:t xml:space="preserve"> </w:t>
      </w:r>
      <m:oMath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−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−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</m:oMath>
      </m:oMathPara>
    </w:p>
    <w:p>
      <w:pPr>
        <w:pStyle w:val="FirstParagraph"/>
      </w:pPr>
      <w:r>
        <w:t xml:space="preserve">Simplifying further gives you the final answer and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  <m:r>
                <m:rPr>
                  <m:sty m:val="p"/>
                </m:rPr>
                <m:t>−</m:t>
              </m:r>
              <m:r>
                <m:t>5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If you instead multiply the numerator and denominator by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ad>
          <m:radPr>
            <m:degHide m:val="on"/>
          </m:radPr>
          <m:deg/>
          <m:e>
            <m:r>
              <m:t>3</m:t>
            </m:r>
          </m:e>
        </m:rad>
        <m:r>
          <m:rPr>
            <m:sty m:val="p"/>
          </m:rPr>
          <m:t>+</m:t>
        </m:r>
        <m:rad>
          <m:radPr>
            <m:degHide m:val="on"/>
          </m:radPr>
          <m:deg/>
          <m:e>
            <m:r>
              <m:t>5</m:t>
            </m:r>
          </m:e>
        </m:rad>
      </m:oMath>
      <w:r>
        <w:t xml:space="preserve"> </w:t>
      </w:r>
      <w:r>
        <w:t xml:space="preserve">you get: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</m:num>
            <m:den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⋅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</m:t>
                  </m:r>
                </m:e>
              </m:ra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</m:oMath>
      </m:oMathPara>
    </w:p>
    <w:p>
      <w:pPr>
        <w:pStyle w:val="FirstParagraph"/>
      </w:pPr>
      <w:r>
        <w:t xml:space="preserve">Expanding the brackets in both the numerator and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Simplifying the denominator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ad>
                <m:radPr>
                  <m:degHide m:val="on"/>
                </m:radPr>
                <m:deg/>
                <m:e>
                  <m:r>
                    <m:t>11</m:t>
                  </m:r>
                </m:e>
              </m:rad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ad>
                    <m:radPr>
                      <m:degHide m:val="on"/>
                    </m:radPr>
                    <m:deg/>
                    <m:e>
                      <m:r>
                        <m:t>3</m:t>
                      </m:r>
                    </m:e>
                  </m:rad>
                  <m:r>
                    <m:rPr>
                      <m:sty m:val="p"/>
                    </m:rPr>
                    <m:t>+</m:t>
                  </m:r>
                  <m:rad>
                    <m:radPr>
                      <m:degHide m:val="on"/>
                    </m:radPr>
                    <m:deg/>
                    <m:e>
                      <m:r>
                        <m:t>5</m:t>
                      </m:r>
                    </m:e>
                  </m:rad>
                </m:e>
              </m:d>
            </m:num>
            <m:den>
              <m:r>
                <m:rPr>
                  <m:sty m:val="p"/>
                </m:rPr>
                <m:t>−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2</m:t>
                      </m:r>
                      <m:rad>
                        <m:radPr>
                          <m:degHide m:val="on"/>
                        </m:radPr>
                        <m:deg/>
                        <m:e>
                          <m: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  <m:r>
                <m:rPr>
                  <m:sty m:val="p"/>
                </m:rPr>
                <m:t>+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15</m:t>
                  </m:r>
                </m:e>
              </m:rad>
              <m:r>
                <m:rPr>
                  <m:sty m:val="p"/>
                </m:rPr>
                <m:t>+</m:t>
              </m:r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ad>
                        <m:radPr>
                          <m:degHide m:val="on"/>
                        </m:radPr>
                        <m:deg/>
                        <m:e>
                          <m:r>
                            <m:t>5</m:t>
                          </m:r>
                        </m:e>
                      </m:rad>
                    </m:e>
                  </m:d>
                </m:e>
                <m:sup>
                  <m:r>
                    <m:t>2</m:t>
                  </m:r>
                </m:sup>
              </m:sSup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</m:oMath>
      </m:oMathPara>
    </w:p>
    <w:p>
      <w:pPr>
        <w:pStyle w:val="FirstParagraph"/>
      </w:pPr>
      <w:r>
        <w:t xml:space="preserve">Further simplifying the denominator then gives you: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5</m:t>
              </m:r>
              <m:r>
                <m:rPr>
                  <m:sty m:val="p"/>
                </m:rPr>
                <m:t>−</m:t>
              </m:r>
              <m:r>
                <m:t>4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3</m:t>
                  </m:r>
                </m:e>
              </m:d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To get a positive denominator, multiplying both the numerator and the denominator by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gives you the right hand side of the equation you are proving: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−</m:t>
              </m:r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+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rPr>
                  <m:sty m:val="p"/>
                </m:rPr>
                <m:t>−</m:t>
              </m:r>
              <m:r>
                <m:t>7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2</m:t>
              </m:r>
              <m:rad>
                <m:radPr>
                  <m:degHide m:val="on"/>
                </m:radPr>
                <m:deg/>
                <m:e>
                  <m:r>
                    <m:t>33</m:t>
                  </m:r>
                </m:e>
              </m:rad>
              <m:r>
                <m:rPr>
                  <m:sty m:val="p"/>
                </m:rPr>
                <m:t>−</m:t>
              </m:r>
              <m:rad>
                <m:radPr>
                  <m:degHide m:val="on"/>
                </m:radPr>
                <m:deg/>
                <m:e>
                  <m:r>
                    <m:t>55</m:t>
                  </m:r>
                </m:e>
              </m:rad>
            </m:num>
            <m:den>
              <m:r>
                <m:t>7</m:t>
              </m:r>
            </m:den>
          </m:f>
        </m:oMath>
      </m:oMathPara>
    </w:p>
    <w:p>
      <w:pPr>
        <w:pStyle w:val="FirstParagraph"/>
      </w:pPr>
      <w:r>
        <w:t xml:space="preserve">3.2.</w:t>
      </w:r>
      <w:r>
        <w:t xml:space="preserve"> </w:t>
      </w:r>
      <m:oMath>
        <m:r>
          <m:t> </m:t>
        </m:r>
        <m:f>
          <m:fPr>
            <m:type m:val="bar"/>
          </m:fPr>
          <m:num>
            <m:r>
              <m:t>5</m:t>
            </m:r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2</m:t>
                </m:r>
              </m:e>
            </m:rad>
          </m:num>
          <m:den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</m:den>
        </m:f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rad>
              <m:radPr>
                <m:degHide m:val="on"/>
              </m:radPr>
              <m:deg/>
              <m:e>
                <m:r>
                  <m:t>10</m:t>
                </m:r>
              </m:e>
            </m:rad>
            <m:r>
              <m:rPr>
                <m:sty m:val="p"/>
              </m:rPr>
              <m:t>+</m:t>
            </m:r>
            <m:r>
              <m:t>5</m:t>
            </m:r>
            <m:rad>
              <m:radPr>
                <m:degHide m:val="on"/>
              </m:radPr>
              <m:deg/>
              <m:e>
                <m:r>
                  <m:t>3</m:t>
                </m:r>
              </m:e>
            </m:rad>
            <m:r>
              <m:rPr>
                <m:sty m:val="p"/>
              </m:rPr>
              <m:t>−</m:t>
            </m:r>
            <m:r>
              <m:t>2</m:t>
            </m:r>
            <m:rad>
              <m:radPr>
                <m:degHide m:val="on"/>
              </m:radPr>
              <m:deg/>
              <m:e>
                <m:r>
                  <m:t>5</m:t>
                </m:r>
              </m:e>
            </m:rad>
            <m:r>
              <m:rPr>
                <m:sty m:val="p"/>
              </m:rPr>
              <m:t>−</m:t>
            </m:r>
            <m:rad>
              <m:radPr>
                <m:degHide m:val="on"/>
              </m:radPr>
              <m:deg/>
              <m:e>
                <m:r>
                  <m:t>6</m:t>
                </m:r>
              </m:e>
            </m:rad>
          </m:num>
          <m:den>
            <m:r>
              <m:t>7</m:t>
            </m:r>
          </m:den>
        </m:f>
      </m:oMath>
    </w:p>
    <w:p>
      <w:r>
        <w:pict>
          <v:rect style="width:0;height:1.5pt" o:hralign="center" o:hrstd="t" o:hr="t"/>
        </w:pict>
      </w:r>
    </w:p>
    <w:p>
      <w:r>
        <w:pict>
          <v:rect style="width:0;height:1.5pt" o:hralign="center" o:hrstd="t" o:hr="t"/>
        </w:pict>
      </w:r>
    </w:p>
    <w:bookmarkEnd w:id="23"/>
    <w:bookmarkStart w:id="25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12/24 by Maximilian Volmar.</w:t>
      </w:r>
    </w:p>
    <w:p>
      <w:pPr>
        <w:pStyle w:val="BodyText"/>
      </w:pPr>
      <w:hyperlink r:id="rId24">
        <w:r>
          <w:rPr>
            <w:rStyle w:val="Hyperlink"/>
          </w:rPr>
          <w:t xml:space="preserve">This work is licensed under CC BY-NC-SA 4.0.</w:t>
        </w:r>
      </w:hyperlink>
    </w:p>
    <w:bookmarkEnd w:id="25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questions/qs-rationalizingthedenominator.qmd" TargetMode="External" /><Relationship Type="http://schemas.openxmlformats.org/officeDocument/2006/relationships/hyperlink" Id="rId24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Answers: Rationalizing the denominator</dc:title>
  <dc:creator>Maximilian Volmar</dc:creator>
  <cp:keywords/>
  <dcterms:created xsi:type="dcterms:W3CDTF">2025-05-01T15:20:35Z</dcterms:created>
  <dcterms:modified xsi:type="dcterms:W3CDTF">2025-05-01T15:20:35Z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Answers to questions relating to the guide on rationalizing the denominator.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