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sigma notation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t>65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r>
          <m:t>54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455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  <m:r>
          <m:rPr>
            <m:sty m:val="p"/>
          </m:rPr>
          <m:t>=</m:t>
        </m:r>
        <m:r>
          <m:t>6</m:t>
        </m:r>
        <m:r>
          <m:t>j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43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43</m:t>
            </m:r>
          </m:sup>
          <m:e>
            <m:sSup>
              <m:e>
                <m:r>
                  <m:t>​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51</m:t>
            </m:r>
          </m:sup>
          <m:e>
            <m:r>
              <m:t>​</m:t>
            </m:r>
          </m:e>
        </m:nary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t>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44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55</m:t>
            </m:r>
          </m:sup>
          <m:e>
            <m:r>
              <m:t>i</m:t>
            </m:r>
          </m:e>
        </m:nary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2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4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sigma notation</dc:title>
  <dc:creator>Ifan Howells-Baines, Mark Toner</dc:creator>
  <cp:keywords/>
  <dcterms:created xsi:type="dcterms:W3CDTF">2025-08-22T13:57:19Z</dcterms:created>
  <dcterms:modified xsi:type="dcterms:W3CDTF">2025-08-22T13:57:19Z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