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Chi-squared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111801"/>
            <wp:effectExtent b="0" l="0" r="0" t="0"/>
            <wp:docPr descr="An example of the chi-squared distribution with k = 5." title="" id="21" name="Picture"/>
            <a:graphic>
              <a:graphicData uri="http://schemas.openxmlformats.org/drawingml/2006/picture">
                <pic:pic>
                  <pic:nvPicPr>
                    <pic:cNvPr descr="./FiguresPNG/f-chisquared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chi-squared distribution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 is used for hypothesis testing, such as for goodness of fit tests and tests for independence. (See</w:t>
      </w:r>
      <w:r>
        <w:t xml:space="preserve"> </w:t>
      </w:r>
      <w:hyperlink r:id="rId23">
        <w:r>
          <w:rPr>
            <w:rStyle w:val="Hyperlink"/>
          </w:rPr>
          <w:t xml:space="preserve">Guide: Introduction to hypothesis testing</w:t>
        </w:r>
      </w:hyperlink>
      <w:r>
        <w:t xml:space="preserve"> </w:t>
      </w:r>
      <w:r>
        <w:t xml:space="preserve">for more.) It is a special case of the gamma distribution, as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k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w:r>
        <w:t xml:space="preserve">The integer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degrees of freedom in the sample.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e>
                      <m:r>
                        <m:t>2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function,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Goodness of fit example:</w:t>
      </w:r>
      <w:r>
        <w:t xml:space="preserve"> </w:t>
      </w:r>
      <w:r>
        <w:t xml:space="preserve">You have a six-sided die with six possible outcomes: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. You calculate the expected frequencies of each outcome. Then you roll the die many times and record the observed frequencies of each outcome. Since there are 6 categories,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  <m:scr m:val="sans-serif"/>
            </m:rPr>
            <m:t>degrees of freedom = number of categories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numPr>
          <w:ilvl w:val="0"/>
          <w:numId w:val="1000"/>
        </w:numPr>
      </w:pPr>
      <w:r>
        <w:t xml:space="preserve">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, meaning the degrees of freedom is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 for independence example:</w:t>
      </w:r>
      <w:r>
        <w:t xml:space="preserve"> </w:t>
      </w:r>
      <w:r>
        <w:t xml:space="preserve">You are investigating whether there is a correlation between two variables: candy colour and flavour. You have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categories of colours and 3 categories of flavours. Calculating the degrees of freedom can be done with the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colours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flavours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You can model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, meaning that there are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degrees of freedom.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Chi-squared distribution</dc:title>
  <dc:creator>Michelle Arnetta and Tom Coleman</dc:creator>
  <cp:keywords/>
  <dcterms:created xsi:type="dcterms:W3CDTF">2025-08-22T13:59:17Z</dcterms:created>
  <dcterms:modified xsi:type="dcterms:W3CDTF">2025-08-22T13:59:17Z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\chi^2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