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Exponential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on</w:t>
      </w:r>
      <w:r>
        <w:t xml:space="preserve"> </w:t>
      </w:r>
      <w:r>
        <w:t xml:space="preserve">the</w:t>
      </w:r>
      <w:r>
        <w:t xml:space="preserve"> </w:t>
      </w:r>
      <w:r>
        <w:t xml:space="preserve">exponential</w:t>
      </w:r>
      <w:r>
        <w:t xml:space="preserve"> </w:t>
      </w:r>
      <w:r>
        <w:t xml:space="preserve">distribution.</w:t>
      </w:r>
    </w:p>
    <w:p>
      <w:pPr>
        <w:pStyle w:val="CaptionedFigure"/>
      </w:pPr>
      <w:r>
        <w:drawing>
          <wp:inline>
            <wp:extent cx="4754880" cy="4160520"/>
            <wp:effectExtent b="0" l="0" r="0" t="0"/>
            <wp:docPr descr="An example of the exponential distribution with \lambda = 0.5." title="" id="21" name="Picture"/>
            <a:graphic>
              <a:graphicData uri="http://schemas.openxmlformats.org/drawingml/2006/picture">
                <pic:pic>
                  <pic:nvPicPr>
                    <pic:cNvPr descr="./FiguresPNG/f-expdist.png" id="22" name="Picture"/>
                    <pic:cNvPicPr>
                      <a:picLocks noChangeArrowheads="1" noChangeAspect="1"/>
                    </pic:cNvPicPr>
                  </pic:nvPicPr>
                  <pic:blipFill>
                    <a:blip r:embed="rId20"/>
                    <a:stretch>
                      <a:fillRect/>
                    </a:stretch>
                  </pic:blipFill>
                  <pic:spPr bwMode="auto">
                    <a:xfrm>
                      <a:off x="0" y="0"/>
                      <a:ext cx="4754880" cy="4160520"/>
                    </a:xfrm>
                    <a:prstGeom prst="rect">
                      <a:avLst/>
                    </a:prstGeom>
                    <a:noFill/>
                    <a:ln w="9525">
                      <a:noFill/>
                      <a:headEnd/>
                      <a:tailEnd/>
                    </a:ln>
                  </pic:spPr>
                </pic:pic>
              </a:graphicData>
            </a:graphic>
          </wp:inline>
        </w:drawing>
      </w:r>
    </w:p>
    <w:p>
      <w:pPr>
        <w:pStyle w:val="ImageCaption"/>
      </w:pPr>
      <w:r>
        <w:t xml:space="preserve">An example of the exponential distribution with</w:t>
      </w:r>
      <w:r>
        <w:t xml:space="preserve"> </w:t>
      </w:r>
      <m:oMath>
        <m:r>
          <m:t>λ</m:t>
        </m:r>
        <m:r>
          <m:rPr>
            <m:sty m:val="p"/>
          </m:rPr>
          <m:t>=</m:t>
        </m:r>
        <m:r>
          <m:t>0.5</m:t>
        </m:r>
      </m:oMath>
      <w:r>
        <w:t xml:space="preserve">.</w:t>
      </w:r>
    </w:p>
    <w:p>
      <w:pPr>
        <w:pStyle w:val="BodyText"/>
      </w:pPr>
      <w:r>
        <w:rPr>
          <w:b/>
          <w:bCs/>
        </w:rPr>
        <w:t xml:space="preserve">Where to use:</w:t>
      </w:r>
      <w:r>
        <w:t xml:space="preserve"> </w:t>
      </w: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a continuous waiting time instead of the integer number of trials.</w:t>
      </w:r>
    </w:p>
    <w:p>
      <w:pPr>
        <w:pStyle w:val="BodyText"/>
      </w:pPr>
      <w:r>
        <w:rPr>
          <w:b/>
          <w:bCs/>
        </w:rPr>
        <w:t xml:space="preserve">Notation:</w:t>
      </w:r>
      <w:r>
        <w:t xml:space="preserve"> </w:t>
      </w:r>
      <m:oMath>
        <m:r>
          <m:t>X</m:t>
        </m:r>
        <m:r>
          <m:rPr>
            <m:sty m:val="p"/>
          </m:rPr>
          <m:t>∼</m:t>
        </m:r>
        <m:r>
          <m:rPr>
            <m:nor/>
            <m:sty m:val="p"/>
          </m:rPr>
          <m:t>Exponential</m:t>
        </m:r>
        <m:d>
          <m:dPr>
            <m:begChr m:val="("/>
            <m:endChr m:val=")"/>
            <m:sepChr m:val=""/>
            <m:grow/>
          </m:dPr>
          <m:e>
            <m:r>
              <m:t>λ</m:t>
            </m:r>
          </m:e>
        </m:d>
      </m:oMath>
      <w:r>
        <w:t xml:space="preserve"> </w:t>
      </w:r>
      <w:r>
        <w:t xml:space="preserve">or</w:t>
      </w:r>
      <w:r>
        <w:t xml:space="preserve"> </w:t>
      </w:r>
      <m:oMath>
        <m:r>
          <m:t>X</m:t>
        </m:r>
        <m:r>
          <m:rPr>
            <m:sty m:val="p"/>
          </m:rPr>
          <m:t>∼</m:t>
        </m:r>
        <m:r>
          <m:rPr>
            <m:nor/>
            <m:sty m:val="p"/>
          </m:rPr>
          <m:t>Exp</m:t>
        </m:r>
        <m:d>
          <m:dPr>
            <m:begChr m:val="("/>
            <m:endChr m:val=")"/>
            <m:sepChr m:val=""/>
            <m:grow/>
          </m:dPr>
          <m:e>
            <m:r>
              <m:t>λ</m:t>
            </m:r>
          </m:e>
        </m:d>
      </m:oMath>
    </w:p>
    <w:p>
      <w:pPr>
        <w:pStyle w:val="BodyText"/>
      </w:pPr>
      <w:r>
        <w:rPr>
          <w:b/>
          <w:bCs/>
        </w:rPr>
        <w:t xml:space="preserve">Parameter:</w:t>
      </w:r>
      <w:r>
        <w:t xml:space="preserve"> </w:t>
      </w:r>
      <w:r>
        <w:t xml:space="preserve">An integer</w:t>
      </w:r>
      <w:r>
        <w:t xml:space="preserve"> </w:t>
      </w:r>
      <m:oMath>
        <m:r>
          <m:t>λ</m:t>
        </m:r>
      </m:oMath>
      <w:r>
        <w:t xml:space="preserve">, representing number of times an event occurs within a specific period of time.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1</m:t>
                  </m:r>
                </m:num>
                <m:den>
                  <m:r>
                    <m:t>λ</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1</m:t>
                  </m:r>
                </m:num>
                <m:den>
                  <m:sSup>
                    <m:e>
                      <m:r>
                        <m:t>λ</m:t>
                      </m:r>
                    </m:e>
                    <m:sup>
                      <m:r>
                        <m:t>2</m:t>
                      </m:r>
                    </m:sup>
                  </m:sSup>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tc>
        <w:tc>
          <w:tcPr/>
          <w:p>
            <w:pPr>
              <w:pStyle w:val="Compact"/>
            </w:pPr>
          </w:p>
        </w:tc>
      </w:tr>
    </w:tbl>
    <w:p>
      <w:pPr>
        <w:pStyle w:val="BodyText"/>
      </w:pPr>
      <w:r>
        <w:rPr>
          <w:b/>
          <w:bCs/>
        </w:rPr>
        <w:t xml:space="preserve">Example:</w:t>
      </w:r>
      <w:r>
        <w:t xml:space="preserve"> </w:t>
      </w:r>
      <w:r>
        <w:t xml:space="preserve">Customers enter Cantor’s Confectionery at an average rate of 20 people per hour, and the time distance between each visit can be modelled by an exponential distribution. This can be expressed as</w:t>
      </w:r>
      <w:r>
        <w:t xml:space="preserve"> </w:t>
      </w:r>
      <m:oMath>
        <m:r>
          <m:t>X</m:t>
        </m:r>
        <m:r>
          <m:rPr>
            <m:sty m:val="p"/>
          </m:rPr>
          <m:t>∼</m:t>
        </m:r>
        <m:r>
          <m:rPr>
            <m:nor/>
            <m:sty m:val="p"/>
          </m:rPr>
          <m:t>Exp</m:t>
        </m:r>
        <m:d>
          <m:dPr>
            <m:begChr m:val="("/>
            <m:endChr m:val=")"/>
            <m:sepChr m:val=""/>
            <m:grow/>
          </m:dPr>
          <m:e>
            <m:r>
              <m:t>20</m:t>
            </m:r>
          </m:e>
        </m:d>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Exponential distribution</dc:title>
  <dc:creator>Michelle Arnetta and Tom Coleman</dc:creator>
  <cp:keywords/>
  <dcterms:created xsi:type="dcterms:W3CDTF">2025-08-28T14:59:28Z</dcterms:created>
  <dcterms:modified xsi:type="dcterms:W3CDTF">2025-08-28T14:59:28Z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on the exponential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