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w:r>
        <w:t xml:space="preserve">Exponential</w:t>
      </w:r>
      <w:r>
        <w:t xml:space="preserve"> </w:t>
      </w:r>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on</w:t>
      </w:r>
      <w:r>
        <w:t xml:space="preserve"> </w:t>
      </w:r>
      <w:r>
        <w:t xml:space="preserve">the</w:t>
      </w:r>
      <w:r>
        <w:t xml:space="preserve"> </w:t>
      </w:r>
      <w:r>
        <w:t xml:space="preserve">exponential</w:t>
      </w:r>
      <w:r>
        <w:t xml:space="preserve"> </w:t>
      </w:r>
      <w:r>
        <w:t xml:space="preserve">distribution.</w:t>
      </w:r>
    </w:p>
    <w:p>
      <w:pPr>
        <w:pStyle w:val="CaptionedFigure"/>
      </w:pPr>
      <w:r>
        <w:drawing>
          <wp:inline>
            <wp:extent cx="4754880" cy="4160520"/>
            <wp:effectExtent b="0" l="0" r="0" t="0"/>
            <wp:docPr descr="An example of the exponential distribution with \lambda = 0.5." title="" id="21" name="Picture"/>
            <a:graphic>
              <a:graphicData uri="http://schemas.openxmlformats.org/drawingml/2006/picture">
                <pic:pic>
                  <pic:nvPicPr>
                    <pic:cNvPr descr="./FiguresPNG/f-expdist.png" id="22" name="Picture"/>
                    <pic:cNvPicPr>
                      <a:picLocks noChangeArrowheads="1" noChangeAspect="1"/>
                    </pic:cNvPicPr>
                  </pic:nvPicPr>
                  <pic:blipFill>
                    <a:blip r:embed="rId20"/>
                    <a:stretch>
                      <a:fillRect/>
                    </a:stretch>
                  </pic:blipFill>
                  <pic:spPr bwMode="auto">
                    <a:xfrm>
                      <a:off x="0" y="0"/>
                      <a:ext cx="4754880" cy="4160520"/>
                    </a:xfrm>
                    <a:prstGeom prst="rect">
                      <a:avLst/>
                    </a:prstGeom>
                    <a:noFill/>
                    <a:ln w="9525">
                      <a:noFill/>
                      <a:headEnd/>
                      <a:tailEnd/>
                    </a:ln>
                  </pic:spPr>
                </pic:pic>
              </a:graphicData>
            </a:graphic>
          </wp:inline>
        </w:drawing>
      </w:r>
    </w:p>
    <w:p>
      <w:pPr>
        <w:pStyle w:val="ImageCaption"/>
      </w:pPr>
      <w:r>
        <w:t xml:space="preserve">An example of the exponential distribution with</w:t>
      </w:r>
      <w:r>
        <w:t xml:space="preserve"> </w:t>
      </w:r>
      <m:oMath>
        <m:r>
          <m:t>λ</m:t>
        </m:r>
        <m:r>
          <m:rPr>
            <m:sty m:val="p"/>
          </m:rPr>
          <m:t>=</m:t>
        </m:r>
        <m:r>
          <m:t>0.5</m:t>
        </m:r>
      </m:oMath>
      <w:r>
        <w:t xml:space="preserve">.</w:t>
      </w:r>
    </w:p>
    <w:p>
      <w:pPr>
        <w:pStyle w:val="BodyText"/>
      </w:pPr>
      <w:r>
        <w:rPr>
          <w:b/>
          <w:bCs/>
        </w:rPr>
        <w:t xml:space="preserve">Where to use:</w:t>
      </w:r>
      <w:r>
        <w:t xml:space="preserve"> </w:t>
      </w:r>
      <w:r>
        <w:t xml:space="preserve">The exponential distribution is used when</w:t>
      </w:r>
      <w:r>
        <w:t xml:space="preserve"> </w:t>
      </w:r>
      <m:oMath>
        <m:r>
          <m:t>X</m:t>
        </m:r>
      </m:oMath>
      <w:r>
        <w:t xml:space="preserve"> </w:t>
      </w:r>
      <w:r>
        <w:t xml:space="preserve">is the waiting time before a certain event occurs. It is similar to the geometric distribution, but the exponential distribution uses a continuous waiting time instead of the integer number of trials.</w:t>
      </w:r>
    </w:p>
    <w:p>
      <w:pPr>
        <w:pStyle w:val="BodyText"/>
      </w:pPr>
      <w:r>
        <w:rPr>
          <w:b/>
          <w:bCs/>
        </w:rPr>
        <w:t xml:space="preserve">Notation:</w:t>
      </w:r>
      <w:r>
        <w:t xml:space="preserve"> </w:t>
      </w:r>
      <m:oMath>
        <m:r>
          <m:t>X</m:t>
        </m:r>
        <m:r>
          <m:rPr>
            <m:sty m:val="p"/>
          </m:rPr>
          <m:t>∼</m:t>
        </m:r>
        <m:r>
          <m:rPr>
            <m:nor/>
            <m:sty m:val="p"/>
          </m:rPr>
          <m:t>Exponential</m:t>
        </m:r>
        <m:d>
          <m:dPr>
            <m:begChr m:val="("/>
            <m:endChr m:val=")"/>
            <m:sepChr m:val=""/>
            <m:grow/>
          </m:dPr>
          <m:e>
            <m:r>
              <m:t>λ</m:t>
            </m:r>
          </m:e>
        </m:d>
      </m:oMath>
      <w:r>
        <w:t xml:space="preserve"> </w:t>
      </w:r>
      <w:r>
        <w:t xml:space="preserve">or</w:t>
      </w:r>
      <w:r>
        <w:t xml:space="preserve"> </w:t>
      </w:r>
      <m:oMath>
        <m:r>
          <m:t>X</m:t>
        </m:r>
        <m:r>
          <m:rPr>
            <m:sty m:val="p"/>
          </m:rPr>
          <m:t>∼</m:t>
        </m:r>
        <m:r>
          <m:rPr>
            <m:nor/>
            <m:sty m:val="p"/>
          </m:rPr>
          <m:t>Exp</m:t>
        </m:r>
        <m:d>
          <m:dPr>
            <m:begChr m:val="("/>
            <m:endChr m:val=")"/>
            <m:sepChr m:val=""/>
            <m:grow/>
          </m:dPr>
          <m:e>
            <m:r>
              <m:t>λ</m:t>
            </m:r>
          </m:e>
        </m:d>
      </m:oMath>
    </w:p>
    <w:p>
      <w:pPr>
        <w:pStyle w:val="BodyText"/>
      </w:pPr>
      <w:r>
        <w:rPr>
          <w:b/>
          <w:bCs/>
        </w:rPr>
        <w:t xml:space="preserve">Parameter:</w:t>
      </w:r>
      <w:r>
        <w:t xml:space="preserve"> </w:t>
      </w:r>
      <w:r>
        <w:t xml:space="preserve">An integer</w:t>
      </w:r>
      <w:r>
        <w:t xml:space="preserve"> </w:t>
      </w:r>
      <m:oMath>
        <m:r>
          <m:t>λ</m:t>
        </m:r>
      </m:oMath>
      <w:r>
        <w:t xml:space="preserve">, representing number of times an event occurs within a specific period of time.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f>
                <m:fPr>
                  <m:type m:val="bar"/>
                </m:fPr>
                <m:num>
                  <m:r>
                    <m:t>1</m:t>
                  </m:r>
                </m:num>
                <m:den>
                  <m:r>
                    <m:t>λ</m:t>
                  </m:r>
                </m:den>
              </m:f>
            </m:oMath>
          </w:p>
        </w:tc>
        <w:tc>
          <w:tcPr/>
          <w:p>
            <w:pPr>
              <w:pStyle w:val="Compact"/>
            </w:pPr>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f>
                <m:fPr>
                  <m:type m:val="bar"/>
                </m:fPr>
                <m:num>
                  <m:r>
                    <m:t>1</m:t>
                  </m:r>
                </m:num>
                <m:den>
                  <m:sSup>
                    <m:e>
                      <m:r>
                        <m:t>λ</m:t>
                      </m:r>
                    </m:e>
                    <m:sup>
                      <m:r>
                        <m:t>2</m:t>
                      </m:r>
                    </m:sup>
                  </m:sSup>
                </m:den>
              </m:f>
            </m:oMath>
          </w:p>
        </w:tc>
        <w:tc>
          <w:tcPr/>
          <w:p>
            <w:pPr>
              <w:pStyle w:val="Compact"/>
            </w:pPr>
          </w:p>
        </w:tc>
      </w:tr>
      <w:tr>
        <w:tc>
          <w:tcPr/>
          <w:p>
            <w:pPr>
              <w:pStyle w:val="Compact"/>
              <w:jc w:val="left"/>
            </w:pPr>
            <w:r>
              <w:rPr>
                <w:b/>
                <w:bCs/>
              </w:rPr>
              <w:t xml:space="preserve">PDF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r>
                <m:t>λ</m:t>
              </m:r>
              <m:sSup>
                <m:e>
                  <m:r>
                    <m:t>e</m:t>
                  </m:r>
                </m:e>
                <m:sup>
                  <m:r>
                    <m:rPr>
                      <m:sty m:val="p"/>
                    </m:rPr>
                    <m:t>−</m:t>
                  </m:r>
                  <m:r>
                    <m:t>λ</m:t>
                  </m:r>
                  <m:r>
                    <m:t>x</m:t>
                  </m:r>
                </m:sup>
              </m:sSup>
            </m:oMath>
          </w:p>
        </w:tc>
        <w:tc>
          <w:tcPr/>
          <w:p>
            <w:pPr>
              <w:pStyle w:val="Compact"/>
            </w:pPr>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r>
                <m:t>1</m:t>
              </m:r>
              <m:r>
                <m:rPr>
                  <m:sty m:val="p"/>
                </m:rPr>
                <m:t>−</m:t>
              </m:r>
              <m:sSup>
                <m:e>
                  <m:r>
                    <m:t>e</m:t>
                  </m:r>
                </m:e>
                <m:sup>
                  <m:r>
                    <m:rPr>
                      <m:sty m:val="p"/>
                    </m:rPr>
                    <m:t>−</m:t>
                  </m:r>
                  <m:r>
                    <m:t>λ</m:t>
                  </m:r>
                  <m:r>
                    <m:t>x</m:t>
                  </m:r>
                </m:sup>
              </m:sSup>
            </m:oMath>
          </w:p>
        </w:tc>
        <w:tc>
          <w:tcPr/>
          <w:p>
            <w:pPr>
              <w:pStyle w:val="Compact"/>
            </w:pPr>
          </w:p>
        </w:tc>
      </w:tr>
    </w:tbl>
    <w:p>
      <w:pPr>
        <w:pStyle w:val="BodyText"/>
      </w:pPr>
      <w:r>
        <w:rPr>
          <w:b/>
          <w:bCs/>
        </w:rPr>
        <w:t xml:space="preserve">Example:</w:t>
      </w:r>
      <w:r>
        <w:t xml:space="preserve"> </w:t>
      </w:r>
      <w:r>
        <w:t xml:space="preserve">Customers enter Cantor’s Confectionery at an average rate of 20 people per hour, and the time distance between each visit can be modelled by an exponential distribution. This can be expressed as</w:t>
      </w:r>
      <w:r>
        <w:t xml:space="preserve"> </w:t>
      </w:r>
      <m:oMath>
        <m:r>
          <m:t>X</m:t>
        </m:r>
        <m:r>
          <m:rPr>
            <m:sty m:val="p"/>
          </m:rPr>
          <m:t>∼</m:t>
        </m:r>
        <m:r>
          <m:rPr>
            <m:nor/>
            <m:sty m:val="p"/>
          </m:rPr>
          <m:t>Exp</m:t>
        </m:r>
        <m:d>
          <m:dPr>
            <m:begChr m:val="("/>
            <m:endChr m:val=")"/>
            <m:sepChr m:val=""/>
            <m:grow/>
          </m:dPr>
          <m:e>
            <m:r>
              <m:t>20</m:t>
            </m:r>
          </m:e>
        </m:d>
      </m:oMath>
      <w:r>
        <w:t xml:space="preserve">.</w:t>
      </w:r>
    </w:p>
    <w:bookmarkStart w:id="26" w:name="further-reading"/>
    <w:p>
      <w:pPr>
        <w:pStyle w:val="Heading1"/>
      </w:pPr>
      <w:r>
        <w:t xml:space="preserve">Further reading</w:t>
      </w:r>
    </w:p>
    <w:p>
      <w:pPr>
        <w:pStyle w:val="FirstParagraph"/>
      </w:pPr>
      <w:hyperlink r:id="rId23">
        <w:r>
          <w:rPr>
            <w:rStyle w:val="Hyperlink"/>
          </w:rPr>
          <w:t xml:space="preserve">This interactive element appears in Overview: Probability distributions. Please click this link to go to the guide.</w:t>
        </w:r>
      </w:hyperlink>
    </w:p>
    <w:bookmarkStart w:id="25" w:name="version-history"/>
    <w:p>
      <w:pPr>
        <w:pStyle w:val="Heading2"/>
      </w:pPr>
      <w:r>
        <w:t xml:space="preserve">Version history</w:t>
      </w:r>
    </w:p>
    <w:p>
      <w:pPr>
        <w:pStyle w:val="FirstParagraph"/>
      </w:pPr>
      <w:r>
        <w:t xml:space="preserve">v1.0: initial version created 04/25 by tdhc and Michelle Arnetta as part of a University of St Andrews VIP project.</w:t>
      </w:r>
    </w:p>
    <w:p>
      <w:pPr>
        <w:pStyle w:val="Compact"/>
        <w:numPr>
          <w:ilvl w:val="0"/>
          <w:numId w:val="1001"/>
        </w:numPr>
      </w:pPr>
      <w:r>
        <w:t xml:space="preserve">v1.1: moved to factsheet form and populated with material from</w:t>
      </w:r>
      <w:r>
        <w:t xml:space="preserve"> </w:t>
      </w:r>
      <w:hyperlink r:id="rId23">
        <w:r>
          <w:rPr>
            <w:rStyle w:val="Hyperlink"/>
          </w:rPr>
          <w:t xml:space="preserve">Overview: Probability distributions</w:t>
        </w:r>
      </w:hyperlink>
      <w:r>
        <w:t xml:space="preserve"> </w:t>
      </w:r>
      <w:r>
        <w:t xml:space="preserve">by tdhc.</w:t>
      </w:r>
    </w:p>
    <w:p>
      <w:pPr>
        <w:pStyle w:val="FirstParagraph"/>
      </w:pPr>
      <w:hyperlink r:id="rId24">
        <w:r>
          <w:rPr>
            <w:rStyle w:val="Hyperlink"/>
          </w:rPr>
          <w:t xml:space="preserve">This work is licensed under CC BY-NC-SA 4.0.</w:t>
        </w:r>
      </w:hyperlink>
    </w:p>
    <w:bookmarkEnd w:id="25"/>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Exponential distribution</dc:title>
  <dc:creator>Michelle Arnetta and Tom Coleman</dc:creator>
  <cp:keywords/>
  <dcterms:created xsi:type="dcterms:W3CDTF">2025-08-28T15:19:32Z</dcterms:created>
  <dcterms:modified xsi:type="dcterms:W3CDTF">2025-08-28T15:19:32Z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on the exponential distribution.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