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m:oMath>
        <m:r>
          <m:t>F</m:t>
        </m:r>
      </m:oMath>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m:oMath>
        <m:r>
          <m:t>F</m:t>
        </m:r>
      </m:oMath>
      <w:r>
        <w:t xml:space="preserve">-distribution.</w:t>
      </w:r>
    </w:p>
    <w:p>
      <w:pPr>
        <w:pStyle w:val="CaptionedFigure"/>
      </w:pPr>
      <w:r>
        <w:drawing>
          <wp:inline>
            <wp:extent cx="4754880" cy="5485650"/>
            <wp:effectExtent b="0" l="0" r="0" t="0"/>
            <wp:docPr descr="An example of the F-distribution with d_1 = 10 and d_2 = 20." title="" id="21" name="Picture"/>
            <a:graphic>
              <a:graphicData uri="http://schemas.openxmlformats.org/drawingml/2006/picture">
                <pic:pic>
                  <pic:nvPicPr>
                    <pic:cNvPr descr="./FiguresPNG/f-fdist.png" id="22" name="Picture"/>
                    <pic:cNvPicPr>
                      <a:picLocks noChangeArrowheads="1" noChangeAspect="1"/>
                    </pic:cNvPicPr>
                  </pic:nvPicPr>
                  <pic:blipFill>
                    <a:blip r:embed="rId20"/>
                    <a:stretch>
                      <a:fillRect/>
                    </a:stretch>
                  </pic:blipFill>
                  <pic:spPr bwMode="auto">
                    <a:xfrm>
                      <a:off x="0" y="0"/>
                      <a:ext cx="4754880" cy="5485650"/>
                    </a:xfrm>
                    <a:prstGeom prst="rect">
                      <a:avLst/>
                    </a:prstGeom>
                    <a:noFill/>
                    <a:ln w="9525">
                      <a:noFill/>
                      <a:headEnd/>
                      <a:tailEnd/>
                    </a:ln>
                  </pic:spPr>
                </pic:pic>
              </a:graphicData>
            </a:graphic>
          </wp:inline>
        </w:drawing>
      </w:r>
    </w:p>
    <w:p>
      <w:pPr>
        <w:pStyle w:val="ImageCaption"/>
      </w:pPr>
      <w:r>
        <w:t xml:space="preserve">An example of the</w:t>
      </w:r>
      <w:r>
        <w:t xml:space="preserve"> </w:t>
      </w:r>
      <m:oMath>
        <m:r>
          <m:t>F</m:t>
        </m:r>
      </m:oMath>
      <w:r>
        <w:t xml:space="preserve">-distribution with</w:t>
      </w:r>
      <w:r>
        <w:t xml:space="preserve"> </w:t>
      </w:r>
      <m:oMath>
        <m:sSub>
          <m:e>
            <m:r>
              <m:t>d</m:t>
            </m:r>
          </m:e>
          <m:sub>
            <m:r>
              <m:t>1</m:t>
            </m:r>
          </m:sub>
        </m:sSub>
        <m:r>
          <m:rPr>
            <m:sty m:val="p"/>
          </m:rPr>
          <m:t>=</m:t>
        </m:r>
        <m:r>
          <m:t>10</m:t>
        </m:r>
      </m:oMath>
      <w:r>
        <w:t xml:space="preserve"> </w:t>
      </w:r>
      <w:r>
        <w:t xml:space="preserve">and</w:t>
      </w:r>
      <w:r>
        <w:t xml:space="preserve"> </w:t>
      </w:r>
      <m:oMath>
        <m:sSub>
          <m:e>
            <m:r>
              <m:t>d</m:t>
            </m:r>
          </m:e>
          <m:sub>
            <m:r>
              <m:t>2</m:t>
            </m:r>
          </m:sub>
        </m:sSub>
        <m:r>
          <m:rPr>
            <m:sty m:val="p"/>
          </m:rPr>
          <m:t>=</m:t>
        </m:r>
        <m:r>
          <m:t>20</m:t>
        </m:r>
      </m:oMath>
      <w:r>
        <w:t xml:space="preserve">.</w:t>
      </w:r>
    </w:p>
    <w:p>
      <w:pPr>
        <w:pStyle w:val="BodyText"/>
      </w:pPr>
      <w:r>
        <w:rPr>
          <w:b/>
          <w:bCs/>
        </w:rPr>
        <w:t xml:space="preserve">Where to use:</w:t>
      </w:r>
      <w:r>
        <w:t xml:space="preserve"> </w:t>
      </w:r>
      <w:r>
        <w:t xml:space="preserve">The</w:t>
      </w:r>
      <w:r>
        <w:t xml:space="preserve"> </w:t>
      </w:r>
      <m:oMath>
        <m:r>
          <m:t>F</m:t>
        </m:r>
      </m:oMath>
      <w:r>
        <w:t xml:space="preserve">-distribution is used for the ratio</w:t>
      </w:r>
      <w:r>
        <w:t xml:space="preserve"> </w:t>
      </w:r>
      <m:oMath>
        <m:d>
          <m:dPr>
            <m:begChr m:val="("/>
            <m:endChr m:val=")"/>
            <m:sepChr m:val=""/>
            <m:grow/>
          </m:dPr>
          <m:e>
            <m:r>
              <m:t>X</m:t>
            </m:r>
            <m:r>
              <m:rPr>
                <m:sty m:val="p"/>
              </m:rPr>
              <m:t>/</m:t>
            </m:r>
            <m:sSub>
              <m:e>
                <m:r>
                  <m:t>d</m:t>
                </m:r>
              </m:e>
              <m:sub>
                <m:r>
                  <m:t>1</m:t>
                </m:r>
              </m:sub>
            </m:sSub>
          </m:e>
        </m:d>
        <m:r>
          <m:rPr>
            <m:sty m:val="p"/>
          </m:rPr>
          <m:t>/</m:t>
        </m:r>
        <m:d>
          <m:dPr>
            <m:begChr m:val="("/>
            <m:endChr m:val=")"/>
            <m:sepChr m:val=""/>
            <m:grow/>
          </m:dPr>
          <m:e>
            <m:r>
              <m:t>Y</m:t>
            </m:r>
            <m:r>
              <m:rPr>
                <m:sty m:val="p"/>
              </m:rPr>
              <m:t>/</m:t>
            </m:r>
            <m:sSub>
              <m:e>
                <m:r>
                  <m:t>d</m:t>
                </m:r>
              </m:e>
              <m:sub>
                <m:r>
                  <m:t>2</m:t>
                </m:r>
              </m:sub>
            </m:sSub>
          </m:e>
        </m:d>
      </m:oMath>
      <w:r>
        <w:t xml:space="preserve"> </w:t>
      </w:r>
      <w:r>
        <w:t xml:space="preserve">of two independent random</w:t>
      </w:r>
      <w:r>
        <w:t xml:space="preserve"> </w:t>
      </w:r>
      <m:oMath>
        <m:sSup>
          <m:e>
            <m:r>
              <m:t>χ</m:t>
            </m:r>
          </m:e>
          <m:sup>
            <m:r>
              <m:t>2</m:t>
            </m:r>
          </m:sup>
        </m:sSup>
      </m:oMath>
      <w:r>
        <w:t xml:space="preserve"> </w:t>
      </w:r>
      <w:r>
        <w:t xml:space="preserve">variables</w:t>
      </w:r>
      <w:r>
        <w:t xml:space="preserve"> </w:t>
      </w:r>
      <m:oMath>
        <m:r>
          <m:t>X</m:t>
        </m:r>
        <m:r>
          <m:rPr>
            <m:sty m:val="p"/>
          </m:rPr>
          <m:t>∼</m:t>
        </m:r>
        <m:sSup>
          <m:e>
            <m:r>
              <m:t>χ</m:t>
            </m:r>
          </m:e>
          <m:sup>
            <m:r>
              <m:t>2</m:t>
            </m:r>
          </m:sup>
        </m:sSup>
        <m:d>
          <m:dPr>
            <m:begChr m:val="("/>
            <m:endChr m:val=")"/>
            <m:sepChr m:val=""/>
            <m:grow/>
          </m:dPr>
          <m:e>
            <m:sSub>
              <m:e>
                <m:r>
                  <m:t>d</m:t>
                </m:r>
              </m:e>
              <m:sub>
                <m:r>
                  <m:t>1</m:t>
                </m:r>
              </m:sub>
            </m:sSub>
          </m:e>
        </m:d>
      </m:oMath>
      <w:r>
        <w:t xml:space="preserve"> </w:t>
      </w:r>
      <w:r>
        <w:t xml:space="preserve">and</w:t>
      </w:r>
      <w:r>
        <w:t xml:space="preserve"> </w:t>
      </w:r>
      <m:oMath>
        <m:r>
          <m:t>Y</m:t>
        </m:r>
        <m:r>
          <m:rPr>
            <m:sty m:val="p"/>
          </m:rPr>
          <m:t>∼</m:t>
        </m:r>
        <m:sSup>
          <m:e>
            <m:r>
              <m:t>χ</m:t>
            </m:r>
          </m:e>
          <m:sup>
            <m:r>
              <m:t>2</m:t>
            </m:r>
          </m:sup>
        </m:sSup>
        <m:d>
          <m:dPr>
            <m:begChr m:val="("/>
            <m:endChr m:val=")"/>
            <m:sepChr m:val=""/>
            <m:grow/>
          </m:dPr>
          <m:e>
            <m:sSub>
              <m:e>
                <m:r>
                  <m:t>d</m:t>
                </m:r>
              </m:e>
              <m:sub>
                <m:r>
                  <m:t>2</m:t>
                </m:r>
              </m:sub>
            </m:sSub>
          </m:e>
        </m:d>
      </m:oMath>
      <w:r>
        <w:t xml:space="preserve">. It is commonly used as a reference distribution in hypothesis testing to compare two variances or more than two means, such as Analysis of Variance (ANOVA) tests.</w:t>
      </w:r>
    </w:p>
    <w:p>
      <w:pPr>
        <w:pStyle w:val="BodyText"/>
      </w:pPr>
      <w:r>
        <w:rPr>
          <w:b/>
          <w:bCs/>
        </w:rPr>
        <w:t xml:space="preserve">Notation:</w:t>
      </w:r>
      <w:r>
        <w:t xml:space="preserve"> </w:t>
      </w:r>
      <m:oMath>
        <m:r>
          <m:t>X</m:t>
        </m:r>
        <m:r>
          <m:rPr>
            <m:sty m:val="p"/>
          </m:rPr>
          <m:t>∼</m:t>
        </m:r>
        <m:r>
          <m:t>F</m:t>
        </m:r>
        <m:d>
          <m:dPr>
            <m:begChr m:val="("/>
            <m:endChr m:val=")"/>
            <m:sepChr m:val=""/>
            <m:grow/>
          </m:dPr>
          <m:e>
            <m:sSub>
              <m:e>
                <m:r>
                  <m:t>d</m:t>
                </m:r>
              </m:e>
              <m:sub>
                <m:r>
                  <m:t>1</m:t>
                </m:r>
              </m:sub>
            </m:sSub>
            <m:r>
              <m:rPr>
                <m:sty m:val="p"/>
              </m:rPr>
              <m:t>,</m:t>
            </m:r>
            <m:sSub>
              <m:e>
                <m:r>
                  <m:t>d</m:t>
                </m:r>
              </m:e>
              <m:sub>
                <m:r>
                  <m:t>2</m:t>
                </m:r>
              </m:sub>
            </m:sSub>
          </m:e>
        </m:d>
      </m:oMath>
    </w:p>
    <w:p>
      <w:pPr>
        <w:pStyle w:val="BodyText"/>
      </w:pPr>
      <w:r>
        <w:rPr>
          <w:b/>
          <w:bCs/>
        </w:rPr>
        <w:t xml:space="preserve">Parameters:</w:t>
      </w:r>
      <w:r>
        <w:t xml:space="preserve"> </w:t>
      </w:r>
      <w:r>
        <w:t xml:space="preserve">Two integers</w:t>
      </w:r>
      <w:r>
        <w:t xml:space="preserve"> </w:t>
      </w:r>
      <m:oMath>
        <m:sSub>
          <m:e>
            <m:r>
              <m:t>d</m:t>
            </m:r>
          </m:e>
          <m:sub>
            <m:r>
              <m:t>1</m:t>
            </m:r>
          </m:sub>
        </m:sSub>
      </m:oMath>
      <w:r>
        <w:t xml:space="preserve"> </w:t>
      </w:r>
      <w:r>
        <w:t xml:space="preserve">and</w:t>
      </w:r>
      <w:r>
        <w:t xml:space="preserve"> </w:t>
      </w:r>
      <m:oMath>
        <m:sSub>
          <m:e>
            <m:r>
              <m:t>d</m:t>
            </m:r>
          </m:e>
          <m:sub>
            <m:r>
              <m:t>2</m:t>
            </m:r>
          </m:sub>
        </m:sSub>
      </m:oMath>
      <w:r>
        <w:t xml:space="preserve">, where -</w:t>
      </w:r>
      <w:r>
        <w:t xml:space="preserve"> </w:t>
      </w:r>
      <m:oMath>
        <m:sSub>
          <m:e>
            <m:r>
              <m:t>d</m:t>
            </m:r>
          </m:e>
          <m:sub>
            <m:r>
              <m:t>1</m:t>
            </m:r>
          </m:sub>
        </m:sSub>
      </m:oMath>
      <w:r>
        <w:t xml:space="preserve"> </w:t>
      </w:r>
      <w:r>
        <w:t xml:space="preserve">degrees of freedom for the random variable</w:t>
      </w:r>
      <w:r>
        <w:t xml:space="preserve"> </w:t>
      </w:r>
      <m:oMath>
        <m:r>
          <m:t>X</m:t>
        </m:r>
        <m:r>
          <m:rPr>
            <m:sty m:val="p"/>
          </m:rPr>
          <m:t>∼</m:t>
        </m:r>
        <m:sSup>
          <m:e>
            <m:r>
              <m:t>χ</m:t>
            </m:r>
          </m:e>
          <m:sup>
            <m:r>
              <m:t>2</m:t>
            </m:r>
          </m:sup>
        </m:sSup>
        <m:d>
          <m:dPr>
            <m:begChr m:val="("/>
            <m:endChr m:val=")"/>
            <m:sepChr m:val=""/>
            <m:grow/>
          </m:dPr>
          <m:e>
            <m:sSub>
              <m:e>
                <m:r>
                  <m:t>d</m:t>
                </m:r>
              </m:e>
              <m:sub>
                <m:r>
                  <m:t>1</m:t>
                </m:r>
              </m:sub>
            </m:sSub>
          </m:e>
        </m:d>
      </m:oMath>
      <w:r>
        <w:t xml:space="preserve">. -</w:t>
      </w:r>
      <w:r>
        <w:t xml:space="preserve"> </w:t>
      </w:r>
      <m:oMath>
        <m:sSub>
          <m:e>
            <m:r>
              <m:t>d</m:t>
            </m:r>
          </m:e>
          <m:sub>
            <m:r>
              <m:t>2</m:t>
            </m:r>
          </m:sub>
        </m:sSub>
      </m:oMath>
      <w:r>
        <w:t xml:space="preserve"> </w:t>
      </w:r>
      <w:r>
        <w:t xml:space="preserve">degrees of freedom for the random variable</w:t>
      </w:r>
      <w:r>
        <w:t xml:space="preserve"> </w:t>
      </w:r>
      <m:oMath>
        <m:r>
          <m:t>Y</m:t>
        </m:r>
        <m:r>
          <m:rPr>
            <m:sty m:val="p"/>
          </m:rPr>
          <m:t>∼</m:t>
        </m:r>
        <m:sSup>
          <m:e>
            <m:r>
              <m:t>χ</m:t>
            </m:r>
          </m:e>
          <m:sup>
            <m:r>
              <m:t>2</m:t>
            </m:r>
          </m:sup>
        </m:sSup>
        <m:d>
          <m:dPr>
            <m:begChr m:val="("/>
            <m:endChr m:val=")"/>
            <m:sepChr m:val=""/>
            <m:grow/>
          </m:dPr>
          <m:e>
            <m:sSub>
              <m:e>
                <m:r>
                  <m:t>d</m:t>
                </m:r>
              </m:e>
              <m:sub>
                <m:r>
                  <m:t>2</m:t>
                </m:r>
              </m:sub>
            </m:sSub>
          </m:e>
        </m:d>
      </m:oMath>
      <w:r>
        <w:t xml:space="preserv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sSub>
                    <m:e>
                      <m:r>
                        <m:t>d</m:t>
                      </m:r>
                    </m:e>
                    <m:sub>
                      <m:r>
                        <m:t>2</m:t>
                      </m:r>
                    </m:sub>
                  </m:sSub>
                </m:num>
                <m:den>
                  <m:sSub>
                    <m:e>
                      <m:r>
                        <m:t>d</m:t>
                      </m:r>
                    </m:e>
                    <m:sub>
                      <m:r>
                        <m:t>2</m:t>
                      </m:r>
                    </m:sub>
                  </m:sSub>
                  <m:r>
                    <m:rPr>
                      <m:sty m:val="p"/>
                    </m:rPr>
                    <m:t>−</m:t>
                  </m:r>
                  <m:r>
                    <m:t>2</m:t>
                  </m:r>
                </m:den>
              </m:f>
            </m:oMath>
          </w:p>
        </w:tc>
        <w:tc>
          <w:tcPr/>
          <w:p>
            <w:pPr>
              <w:pStyle w:val="Compact"/>
              <w:jc w:val="left"/>
            </w:pPr>
            <m:oMath>
              <m:sSub>
                <m:e>
                  <m:r>
                    <m:t>d</m:t>
                  </m:r>
                </m:e>
                <m:sub>
                  <m:r>
                    <m:t>2</m:t>
                  </m:r>
                </m:sub>
              </m:sSub>
              <m:r>
                <m:rPr>
                  <m:sty m:val="p"/>
                </m:rPr>
                <m:t>&gt;</m:t>
              </m:r>
              <m:r>
                <m:t>2</m:t>
              </m:r>
            </m:oMath>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2</m:t>
                  </m:r>
                  <m:sSub>
                    <m:e>
                      <m:r>
                        <m:t>d</m:t>
                      </m:r>
                    </m:e>
                    <m:sub>
                      <m:r>
                        <m:t>2</m:t>
                      </m:r>
                    </m:sub>
                  </m:sSub>
                  <m:d>
                    <m:dPr>
                      <m:begChr m:val="("/>
                      <m:endChr m:val=")"/>
                      <m:sepChr m:val=""/>
                      <m:grow/>
                    </m:dPr>
                    <m:e>
                      <m:sSub>
                        <m:e>
                          <m:r>
                            <m:t>d</m:t>
                          </m:r>
                        </m:e>
                        <m:sub>
                          <m:r>
                            <m:t>1</m:t>
                          </m:r>
                        </m:sub>
                      </m:sSub>
                      <m:r>
                        <m:rPr>
                          <m:sty m:val="p"/>
                        </m:rPr>
                        <m:t>+</m:t>
                      </m:r>
                      <m:sSub>
                        <m:e>
                          <m:r>
                            <m:t>d</m:t>
                          </m:r>
                        </m:e>
                        <m:sub>
                          <m:r>
                            <m:t>2</m:t>
                          </m:r>
                        </m:sub>
                      </m:sSub>
                      <m:r>
                        <m:rPr>
                          <m:sty m:val="p"/>
                        </m:rPr>
                        <m:t>−</m:t>
                      </m:r>
                      <m:r>
                        <m:t>2</m:t>
                      </m:r>
                    </m:e>
                  </m:d>
                </m:num>
                <m:den>
                  <m:sSub>
                    <m:e>
                      <m:r>
                        <m:t>d</m:t>
                      </m:r>
                    </m:e>
                    <m:sub>
                      <m:r>
                        <m:t>1</m:t>
                      </m:r>
                    </m:sub>
                  </m:sSub>
                  <m:sSup>
                    <m:e>
                      <m:d>
                        <m:dPr>
                          <m:begChr m:val="("/>
                          <m:endChr m:val=")"/>
                          <m:sepChr m:val=""/>
                          <m:grow/>
                        </m:dPr>
                        <m:e>
                          <m:sSub>
                            <m:e>
                              <m:r>
                                <m:t>d</m:t>
                              </m:r>
                            </m:e>
                            <m:sub>
                              <m:r>
                                <m:t>2</m:t>
                              </m:r>
                            </m:sub>
                          </m:sSub>
                          <m:r>
                            <m:rPr>
                              <m:sty m:val="p"/>
                            </m:rPr>
                            <m:t>−</m:t>
                          </m:r>
                          <m:r>
                            <m:t>2</m:t>
                          </m:r>
                        </m:e>
                      </m:d>
                    </m:e>
                    <m:sup>
                      <m:r>
                        <m:t>2</m:t>
                      </m:r>
                    </m:sup>
                  </m:sSup>
                  <m:d>
                    <m:dPr>
                      <m:begChr m:val="("/>
                      <m:endChr m:val=")"/>
                      <m:sepChr m:val=""/>
                      <m:grow/>
                    </m:dPr>
                    <m:e>
                      <m:sSub>
                        <m:e>
                          <m:r>
                            <m:t>d</m:t>
                          </m:r>
                        </m:e>
                        <m:sub>
                          <m:r>
                            <m:t>2</m:t>
                          </m:r>
                        </m:sub>
                      </m:sSub>
                      <m:r>
                        <m:rPr>
                          <m:sty m:val="p"/>
                        </m:rPr>
                        <m:t>−</m:t>
                      </m:r>
                      <m:r>
                        <m:t>4</m:t>
                      </m:r>
                    </m:e>
                  </m:d>
                </m:den>
              </m:f>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ad>
                    <m:radPr>
                      <m:degHide m:val="on"/>
                    </m:radPr>
                    <m:deg/>
                    <m:e>
                      <m:f>
                        <m:fPr>
                          <m:type m:val="bar"/>
                        </m:fPr>
                        <m:num>
                          <m:sSup>
                            <m:e>
                              <m:d>
                                <m:dPr>
                                  <m:begChr m:val="("/>
                                  <m:endChr m:val=")"/>
                                  <m:sepChr m:val=""/>
                                  <m:grow/>
                                </m:dPr>
                                <m:e>
                                  <m:sSub>
                                    <m:e>
                                      <m:r>
                                        <m:t>d</m:t>
                                      </m:r>
                                    </m:e>
                                    <m:sub>
                                      <m:r>
                                        <m:t>1</m:t>
                                      </m:r>
                                    </m:sub>
                                  </m:sSub>
                                  <m:r>
                                    <m:t>x</m:t>
                                  </m:r>
                                </m:e>
                              </m:d>
                            </m:e>
                            <m:sup>
                              <m:sSub>
                                <m:e>
                                  <m:r>
                                    <m:t>d</m:t>
                                  </m:r>
                                </m:e>
                                <m:sub>
                                  <m:r>
                                    <m:t>1</m:t>
                                  </m:r>
                                </m:sub>
                              </m:sSub>
                            </m:sup>
                          </m:sSup>
                          <m:sSubSup>
                            <m:e>
                              <m:r>
                                <m:t>d</m:t>
                              </m:r>
                            </m:e>
                            <m:sub>
                              <m:r>
                                <m:t>2</m:t>
                              </m:r>
                            </m:sub>
                            <m:sup>
                              <m:sSub>
                                <m:e>
                                  <m:r>
                                    <m:t>d</m:t>
                                  </m:r>
                                </m:e>
                                <m:sub>
                                  <m:r>
                                    <m:t>2</m:t>
                                  </m:r>
                                </m:sub>
                              </m:sSub>
                            </m:sup>
                          </m:sSubSup>
                        </m:num>
                        <m:den>
                          <m:sSup>
                            <m:e>
                              <m:d>
                                <m:dPr>
                                  <m:begChr m:val="("/>
                                  <m:endChr m:val=")"/>
                                  <m:sepChr m:val=""/>
                                  <m:grow/>
                                </m:dPr>
                                <m:e>
                                  <m:sSub>
                                    <m:e>
                                      <m:r>
                                        <m:t>d</m:t>
                                      </m:r>
                                    </m:e>
                                    <m:sub>
                                      <m:r>
                                        <m:t>1</m:t>
                                      </m:r>
                                    </m:sub>
                                  </m:sSub>
                                  <m:r>
                                    <m:t>x</m:t>
                                  </m:r>
                                  <m:r>
                                    <m:rPr>
                                      <m:sty m:val="p"/>
                                    </m:rPr>
                                    <m:t>+</m:t>
                                  </m:r>
                                  <m:sSub>
                                    <m:e>
                                      <m:r>
                                        <m:t>d</m:t>
                                      </m:r>
                                    </m:e>
                                    <m:sub>
                                      <m:r>
                                        <m:t>2</m:t>
                                      </m:r>
                                    </m:sub>
                                  </m:sSub>
                                </m:e>
                              </m:d>
                            </m:e>
                            <m:sup>
                              <m:sSub>
                                <m:e>
                                  <m:r>
                                    <m:t>d</m:t>
                                  </m:r>
                                </m:e>
                                <m:sub>
                                  <m:r>
                                    <m:t>1</m:t>
                                  </m:r>
                                </m:sub>
                              </m:sSub>
                              <m:r>
                                <m:rPr>
                                  <m:sty m:val="p"/>
                                </m:rPr>
                                <m:t>+</m:t>
                              </m:r>
                              <m:sSub>
                                <m:e>
                                  <m:r>
                                    <m:t>d</m:t>
                                  </m:r>
                                </m:e>
                                <m:sub>
                                  <m:r>
                                    <m:t>2</m:t>
                                  </m:r>
                                </m:sub>
                              </m:sSub>
                            </m:sup>
                          </m:sSup>
                        </m:den>
                      </m:f>
                    </m:e>
                  </m:rad>
                </m:num>
                <m:den>
                  <m:r>
                    <m:t>x</m:t>
                  </m:r>
                  <m:r>
                    <m:rPr>
                      <m:nor/>
                      <m:sty m:val="p"/>
                    </m:rPr>
                    <m:t>B</m:t>
                  </m:r>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den>
              </m:f>
            </m:oMath>
          </w:p>
        </w:tc>
        <w:tc>
          <w:tcPr/>
          <w:p>
            <w:pPr>
              <w:pStyle w:val="Compact"/>
              <w:jc w:val="left"/>
            </w:pPr>
            <m:oMath>
              <m:r>
                <m:rPr>
                  <m:nor/>
                  <m:sty m:val="p"/>
                </m:rPr>
                <m:t>B</m:t>
              </m:r>
              <m:d>
                <m:dPr>
                  <m:begChr m:val="("/>
                  <m:endChr m:val=")"/>
                  <m:sepChr m:val=""/>
                  <m:grow/>
                </m:dPr>
                <m:e>
                  <m:r>
                    <m:t>x</m:t>
                  </m:r>
                  <m:r>
                    <m:rPr>
                      <m:sty m:val="p"/>
                    </m:rPr>
                    <m:t>,</m:t>
                  </m:r>
                  <m:r>
                    <m:t>y</m:t>
                  </m:r>
                </m:e>
              </m:d>
            </m:oMath>
            <w:r>
              <w:t xml:space="preserve"> </w:t>
            </w:r>
            <w:r>
              <w:t xml:space="preserve">is the beta function</w:t>
            </w: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sSub>
                <m:e>
                  <m:r>
                    <m:t>I</m:t>
                  </m:r>
                </m:e>
                <m:sub>
                  <m:f>
                    <m:fPr>
                      <m:type m:val="bar"/>
                    </m:fPr>
                    <m:num>
                      <m:sSub>
                        <m:e>
                          <m:r>
                            <m:t>d</m:t>
                          </m:r>
                        </m:e>
                        <m:sub>
                          <m:r>
                            <m:t>1</m:t>
                          </m:r>
                        </m:sub>
                      </m:sSub>
                      <m:r>
                        <m:t>x</m:t>
                      </m:r>
                    </m:num>
                    <m:den>
                      <m:sSub>
                        <m:e>
                          <m:r>
                            <m:t>d</m:t>
                          </m:r>
                        </m:e>
                        <m:sub>
                          <m:r>
                            <m:t>1</m:t>
                          </m:r>
                        </m:sub>
                      </m:sSub>
                      <m:r>
                        <m:t>x</m:t>
                      </m:r>
                      <m:r>
                        <m:rPr>
                          <m:sty m:val="p"/>
                        </m:rPr>
                        <m:t>+</m:t>
                      </m:r>
                      <m:sSub>
                        <m:e>
                          <m:r>
                            <m:t>d</m:t>
                          </m:r>
                        </m:e>
                        <m:sub>
                          <m:r>
                            <m:t>2</m:t>
                          </m:r>
                        </m:sub>
                      </m:sSub>
                    </m:den>
                  </m:f>
                </m:sub>
              </m:sSub>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oMath>
          </w:p>
        </w:tc>
        <w:tc>
          <w:tcPr/>
          <w:p>
            <w:pPr>
              <w:pStyle w:val="Compact"/>
              <w:jc w:val="left"/>
            </w:pP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w:t>
            </w:r>
          </w:p>
        </w:tc>
      </w:tr>
    </w:tbl>
    <w:p>
      <w:pPr>
        <w:pStyle w:val="BodyText"/>
      </w:pPr>
      <w:r>
        <w:rPr>
          <w:b/>
          <w:bCs/>
        </w:rPr>
        <w:t xml:space="preserve">Example:</w:t>
      </w:r>
      <w:r>
        <w:t xml:space="preserve"> </w:t>
      </w:r>
      <w:r>
        <w:t xml:space="preserve">You have three independent groups of data containing Cantor’s Confectionery chocolate bar lengths, and the total sample size is 90. From this, you would like to conduct an ANOVA test investigating if there is a statistically significant difference between the means of each group. You can find the degrees of freedom using the following methods:</w:t>
      </w:r>
    </w:p>
    <w:p>
      <w:pPr>
        <w:numPr>
          <w:ilvl w:val="0"/>
          <w:numId w:val="1001"/>
        </w:numPr>
      </w:pPr>
      <m:oMath>
        <m:r>
          <m:rPr>
            <m:nor/>
            <m:sty m:val="p"/>
            <m:scr m:val="sans-serif"/>
          </m:rPr>
          <m:t>numerator degrees of freedom = number of groups</m:t>
        </m:r>
        <m:r>
          <m:rPr>
            <m:sty m:val="p"/>
          </m:rPr>
          <m:t>−</m:t>
        </m:r>
        <m:r>
          <m:t>1</m:t>
        </m:r>
        <m:r>
          <m:rPr>
            <m:sty m:val="p"/>
          </m:rPr>
          <m:t>=</m:t>
        </m:r>
        <m:r>
          <m:t>3</m:t>
        </m:r>
        <m:r>
          <m:rPr>
            <m:sty m:val="p"/>
          </m:rPr>
          <m:t>−</m:t>
        </m:r>
        <m:r>
          <m:t>1</m:t>
        </m:r>
        <m:r>
          <m:rPr>
            <m:sty m:val="p"/>
          </m:rPr>
          <m:t>=</m:t>
        </m:r>
        <m:r>
          <m:t>2</m:t>
        </m:r>
      </m:oMath>
    </w:p>
    <w:p>
      <w:pPr>
        <w:numPr>
          <w:ilvl w:val="0"/>
          <w:numId w:val="1001"/>
        </w:numPr>
      </w:pPr>
      <m:oMath>
        <m:r>
          <m:rPr>
            <m:nor/>
            <m:sty m:val="p"/>
            <m:scr m:val="sans-serif"/>
          </m:rPr>
          <m:t>denominator degrees of freedom = sample size - number of groups</m:t>
        </m:r>
        <m:r>
          <m:rPr>
            <m:sty m:val="p"/>
          </m:rPr>
          <m:t>=</m:t>
        </m:r>
        <m:r>
          <m:t>90</m:t>
        </m:r>
        <m:r>
          <m:rPr>
            <m:sty m:val="p"/>
          </m:rPr>
          <m:t>−</m:t>
        </m:r>
        <m:r>
          <m:t>3</m:t>
        </m:r>
        <m:r>
          <m:rPr>
            <m:sty m:val="p"/>
          </m:rPr>
          <m:t>=</m:t>
        </m:r>
        <m:r>
          <m:t>87</m:t>
        </m:r>
      </m:oMath>
    </w:p>
    <w:p>
      <w:pPr>
        <w:pStyle w:val="FirstParagraph"/>
      </w:pPr>
      <w:r>
        <w:t xml:space="preserve">The</w:t>
      </w:r>
      <w:r>
        <w:t xml:space="preserve"> </w:t>
      </w:r>
      <m:oMath>
        <m:r>
          <m:t>F</m:t>
        </m:r>
      </m:oMath>
      <w:r>
        <w:t xml:space="preserve"> </w:t>
      </w:r>
      <w:r>
        <w:t xml:space="preserve">distribution, which will be used as a reference distribution for the ANOVA test, can be expressed as</w:t>
      </w:r>
      <w:r>
        <w:t xml:space="preserve"> </w:t>
      </w:r>
      <m:oMath>
        <m:r>
          <m:t>X</m:t>
        </m:r>
        <m:r>
          <m:rPr>
            <m:sty m:val="p"/>
          </m:rPr>
          <m:t>∼</m:t>
        </m:r>
        <m:r>
          <m:t>F</m:t>
        </m:r>
        <m:d>
          <m:dPr>
            <m:begChr m:val="("/>
            <m:endChr m:val=")"/>
            <m:sepChr m:val=""/>
            <m:grow/>
          </m:dPr>
          <m:e>
            <m:r>
              <m:t>2</m:t>
            </m:r>
            <m:r>
              <m:rPr>
                <m:sty m:val="p"/>
              </m:rPr>
              <m:t>,</m:t>
            </m:r>
            <m:r>
              <m:t>87</m:t>
            </m:r>
          </m:e>
        </m:d>
      </m:oMath>
      <w:r>
        <w:t xml:space="preserve">, meaning the numerator degrees of freedom is</w:t>
      </w:r>
      <w:r>
        <w:t xml:space="preserve"> </w:t>
      </w:r>
      <m:oMath>
        <m:r>
          <m:t>2</m:t>
        </m:r>
      </m:oMath>
      <w:r>
        <w:t xml:space="preserve"> </w:t>
      </w:r>
      <w:r>
        <w:t xml:space="preserve">and the denominator degrees of freedom is</w:t>
      </w:r>
      <w:r>
        <w:t xml:space="preserve"> </w:t>
      </w:r>
      <m:oMath>
        <m:r>
          <m:t>87</m:t>
        </m:r>
      </m:oMath>
      <w:r>
        <w:t xml:space="preserve">.</w:t>
      </w:r>
    </w:p>
    <w:bookmarkStart w:id="26" w:name="further-reading"/>
    <w:p>
      <w:pPr>
        <w:pStyle w:val="Heading1"/>
      </w:pPr>
      <w:r>
        <w:t xml:space="preserve">Further reading</w:t>
      </w:r>
    </w:p>
    <w:p>
      <w:pPr>
        <w:pStyle w:val="FirstParagraph"/>
      </w:pPr>
      <w:hyperlink r:id="rId23">
        <w:r>
          <w:rPr>
            <w:rStyle w:val="Hyperlink"/>
          </w:rPr>
          <w:t xml:space="preserve">This interactive element appears in Overview: Probability distributions. Please click this link to go to the guide.</w:t>
        </w:r>
      </w:hyperlink>
    </w:p>
    <w:bookmarkStart w:id="25"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2"/>
        </w:numPr>
      </w:pPr>
      <w:r>
        <w:t xml:space="preserve">v1.1: moved to factsheet form and populated with material from</w:t>
      </w:r>
      <w:r>
        <w:t xml:space="preserve"> </w:t>
      </w:r>
      <w:hyperlink r:id="rId23">
        <w:r>
          <w:rPr>
            <w:rStyle w:val="Hyperlink"/>
          </w:rPr>
          <w:t xml:space="preserve">Overview: Probability distributions</w:t>
        </w:r>
      </w:hyperlink>
      <w:r>
        <w:t xml:space="preserve"> </w:t>
      </w:r>
      <w:r>
        <w:t xml:space="preserve">by tdhc.</w:t>
      </w:r>
    </w:p>
    <w:p>
      <w:pPr>
        <w:pStyle w:val="FirstParagraph"/>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F-distribution</dc:title>
  <dc:creator>Michelle Arnetta and Tom Coleman</dc:creator>
  <cp:keywords/>
  <dcterms:created xsi:type="dcterms:W3CDTF">2025-08-20T14:59:25Z</dcterms:created>
  <dcterms:modified xsi:type="dcterms:W3CDTF">2025-08-20T14:59:25Z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F-distribution.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