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Factsheet:</w:t>
      </w:r>
      <w:r>
        <w:t xml:space="preserve"> </w:t>
      </w:r>
      <w:r>
        <w:t xml:space="preserve">Negative</w:t>
      </w:r>
      <w:r>
        <w:t xml:space="preserve"> </w:t>
      </w:r>
      <w:r>
        <w:t xml:space="preserve">binomial</w:t>
      </w:r>
      <w:r>
        <w:t xml:space="preserve"> </w:t>
      </w:r>
      <w:r>
        <w:t xml:space="preserve">distribution</w:t>
      </w:r>
    </w:p>
    <w:p>
      <w:pPr>
        <w:pStyle w:val="Author"/>
      </w:pPr>
      <w:r>
        <w:t xml:space="preserve">Michelle</w:t>
      </w:r>
      <w:r>
        <w:t xml:space="preserve"> </w:t>
      </w:r>
      <w:r>
        <w:t xml:space="preserve">Arnetta</w:t>
      </w:r>
      <w:r>
        <w:t xml:space="preserve"> </w:t>
      </w:r>
      <w:r>
        <w:t xml:space="preserve">and</w:t>
      </w:r>
      <w:r>
        <w:t xml:space="preserve"> </w:t>
      </w:r>
      <w:r>
        <w:t xml:space="preserve">Tom</w:t>
      </w:r>
      <w:r>
        <w:t xml:space="preserve"> </w:t>
      </w:r>
      <w:r>
        <w:t xml:space="preserve">Coleman</w:t>
      </w:r>
    </w:p>
    <w:p>
      <w:pPr>
        <w:pStyle w:val="AbstractTitle"/>
      </w:pPr>
      <w:r>
        <w:t xml:space="preserve">Summary</w:t>
      </w:r>
    </w:p>
    <w:p>
      <w:pPr>
        <w:pStyle w:val="Abstract"/>
      </w:pPr>
      <w:r>
        <w:t xml:space="preserve">A</w:t>
      </w:r>
      <w:r>
        <w:t xml:space="preserve"> </w:t>
      </w:r>
      <w:r>
        <w:t xml:space="preserve">factsheet</w:t>
      </w:r>
      <w:r>
        <w:t xml:space="preserve"> </w:t>
      </w:r>
      <w:r>
        <w:t xml:space="preserve">for</w:t>
      </w:r>
      <w:r>
        <w:t xml:space="preserve"> </w:t>
      </w:r>
      <w:r>
        <w:t xml:space="preserve">the</w:t>
      </w:r>
      <w:r>
        <w:t xml:space="preserve"> </w:t>
      </w:r>
      <w:r>
        <w:t xml:space="preserve">negative</w:t>
      </w:r>
      <w:r>
        <w:t xml:space="preserve"> </w:t>
      </w:r>
      <w:r>
        <w:t xml:space="preserve">binomial</w:t>
      </w:r>
      <w:r>
        <w:t xml:space="preserve"> </w:t>
      </w:r>
      <w:r>
        <w:t xml:space="preserve">distribution.</w:t>
      </w:r>
    </w:p>
    <w:p>
      <w:pPr>
        <w:pStyle w:val="CaptionedFigure"/>
      </w:pPr>
      <w:r>
        <w:drawing>
          <wp:inline>
            <wp:extent cx="4754880" cy="6245651"/>
            <wp:effectExtent b="0" l="0" r="0" t="0"/>
            <wp:docPr descr="An example of the negative distribution with r = 4 and p = 0.3." title="" id="21" name="Picture"/>
            <a:graphic>
              <a:graphicData uri="http://schemas.openxmlformats.org/drawingml/2006/picture">
                <pic:pic>
                  <pic:nvPicPr>
                    <pic:cNvPr descr="./FiguresPNG/f-negbinomialdist.png" id="22" name="Picture"/>
                    <pic:cNvPicPr>
                      <a:picLocks noChangeArrowheads="1" noChangeAspect="1"/>
                    </pic:cNvPicPr>
                  </pic:nvPicPr>
                  <pic:blipFill>
                    <a:blip r:embed="rId20"/>
                    <a:stretch>
                      <a:fillRect/>
                    </a:stretch>
                  </pic:blipFill>
                  <pic:spPr bwMode="auto">
                    <a:xfrm>
                      <a:off x="0" y="0"/>
                      <a:ext cx="4754880" cy="6245651"/>
                    </a:xfrm>
                    <a:prstGeom prst="rect">
                      <a:avLst/>
                    </a:prstGeom>
                    <a:noFill/>
                    <a:ln w="9525">
                      <a:noFill/>
                      <a:headEnd/>
                      <a:tailEnd/>
                    </a:ln>
                  </pic:spPr>
                </pic:pic>
              </a:graphicData>
            </a:graphic>
          </wp:inline>
        </w:drawing>
      </w:r>
    </w:p>
    <w:p>
      <w:pPr>
        <w:pStyle w:val="ImageCaption"/>
      </w:pPr>
      <w:r>
        <w:t xml:space="preserve">An example of the negative distribution with</w:t>
      </w:r>
      <w:r>
        <w:t xml:space="preserve"> </w:t>
      </w:r>
      <m:oMath>
        <m:r>
          <m:t>r</m:t>
        </m:r>
        <m:r>
          <m:rPr>
            <m:sty m:val="p"/>
          </m:rPr>
          <m:t>=</m:t>
        </m:r>
        <m:r>
          <m:t>4</m:t>
        </m:r>
      </m:oMath>
      <w:r>
        <w:t xml:space="preserve"> </w:t>
      </w:r>
      <w:r>
        <w:t xml:space="preserve">and</w:t>
      </w:r>
      <w:r>
        <w:t xml:space="preserve"> </w:t>
      </w:r>
      <m:oMath>
        <m:r>
          <m:t>p</m:t>
        </m:r>
        <m:r>
          <m:rPr>
            <m:sty m:val="p"/>
          </m:rPr>
          <m:t>=</m:t>
        </m:r>
        <m:r>
          <m:t>0.3</m:t>
        </m:r>
      </m:oMath>
      <w:r>
        <w:t xml:space="preserve">.</w:t>
      </w:r>
    </w:p>
    <w:p>
      <w:pPr>
        <w:pStyle w:val="BodyText"/>
      </w:pPr>
      <w:r>
        <w:rPr>
          <w:b/>
          <w:bCs/>
        </w:rPr>
        <w:t xml:space="preserve">Where to use:</w:t>
      </w:r>
      <w:r>
        <w:t xml:space="preserve"> </w:t>
      </w:r>
      <w:r>
        <w:t xml:space="preserve">The negative binomial distribution is often used to handle over-dispersed data, which means the variance exceeds the mean. It can serve as an alternative to the Poisson distribution, as the Poisson distribution assumes that the mean is equal to the variance.</w:t>
      </w:r>
      <w:r>
        <w:t xml:space="preserve"> </w:t>
      </w:r>
      <m:oMath>
        <m:r>
          <m:t>X</m:t>
        </m:r>
      </m:oMath>
      <w:r>
        <w:t xml:space="preserve"> </w:t>
      </w:r>
      <w:r>
        <w:t xml:space="preserve">represents the number of trials required to reach the targeted number of successes</w:t>
      </w:r>
      <w:r>
        <w:t xml:space="preserve"> </w:t>
      </w:r>
      <m:oMath>
        <m:r>
          <m:t>r</m:t>
        </m:r>
      </m:oMath>
      <w:r>
        <w:t xml:space="preserve">.</w:t>
      </w:r>
    </w:p>
    <w:p>
      <w:pPr>
        <w:pStyle w:val="BodyText"/>
      </w:pPr>
      <w:r>
        <w:rPr>
          <w:b/>
          <w:bCs/>
        </w:rPr>
        <w:t xml:space="preserve">Notation:</w:t>
      </w:r>
      <w:r>
        <w:t xml:space="preserve"> </w:t>
      </w:r>
      <m:oMath>
        <m:r>
          <m:t>X</m:t>
        </m:r>
        <m:r>
          <m:rPr>
            <m:sty m:val="p"/>
          </m:rPr>
          <m:t>∼</m:t>
        </m:r>
        <m:r>
          <m:rPr>
            <m:nor/>
            <m:sty m:val="p"/>
          </m:rPr>
          <m:t>NB</m:t>
        </m:r>
        <m:d>
          <m:dPr>
            <m:begChr m:val="("/>
            <m:endChr m:val=")"/>
            <m:sepChr m:val=""/>
            <m:grow/>
          </m:dPr>
          <m:e>
            <m:r>
              <m:t>r</m:t>
            </m:r>
            <m:r>
              <m:rPr>
                <m:sty m:val="p"/>
              </m:rPr>
              <m:t>,</m:t>
            </m:r>
            <m:r>
              <m:t>p</m:t>
            </m:r>
          </m:e>
        </m:d>
      </m:oMath>
    </w:p>
    <w:p>
      <w:pPr>
        <w:pStyle w:val="BodyText"/>
      </w:pPr>
      <w:r>
        <w:rPr>
          <w:b/>
          <w:bCs/>
        </w:rPr>
        <w:t xml:space="preserve">Parameters:</w:t>
      </w:r>
      <w:r>
        <w:t xml:space="preserve"> </w:t>
      </w:r>
      <w:r>
        <w:t xml:space="preserve">Two numbers</w:t>
      </w:r>
      <w:r>
        <w:t xml:space="preserve"> </w:t>
      </w:r>
      <m:oMath>
        <m:r>
          <m:t>r</m:t>
        </m:r>
        <m:r>
          <m:rPr>
            <m:sty m:val="p"/>
          </m:rPr>
          <m:t>,</m:t>
        </m:r>
        <m:r>
          <m:t>p</m:t>
        </m:r>
      </m:oMath>
      <w:r>
        <w:t xml:space="preserve"> </w:t>
      </w:r>
      <w:r>
        <w:t xml:space="preserve">where:</w:t>
      </w:r>
    </w:p>
    <w:p>
      <w:pPr>
        <w:pStyle w:val="Compact"/>
        <w:numPr>
          <w:ilvl w:val="0"/>
          <w:numId w:val="1001"/>
        </w:numPr>
      </w:pPr>
      <m:oMath>
        <m:r>
          <m:t>r</m:t>
        </m:r>
      </m:oMath>
      <w:r>
        <w:t xml:space="preserve"> </w:t>
      </w:r>
      <w:r>
        <w:t xml:space="preserve">is an integer representing the targeted number of successes,</w:t>
      </w:r>
    </w:p>
    <w:p>
      <w:pPr>
        <w:pStyle w:val="Compact"/>
        <w:numPr>
          <w:ilvl w:val="0"/>
          <w:numId w:val="1001"/>
        </w:numPr>
      </w:pPr>
      <m:oMath>
        <m:r>
          <m:t>p</m:t>
        </m:r>
      </m:oMath>
      <w:r>
        <w:t xml:space="preserve"> </w:t>
      </w:r>
      <w:r>
        <w:t xml:space="preserve">is a real number representing the probability of success in a single trial (where</w:t>
      </w:r>
      <w:r>
        <w:t xml:space="preserve"> </w:t>
      </w:r>
      <m:oMath>
        <m:r>
          <m:t>0</m:t>
        </m:r>
        <m:r>
          <m:rPr>
            <m:sty m:val="p"/>
          </m:rPr>
          <m:t>≤</m:t>
        </m:r>
        <m:r>
          <m:t>p</m:t>
        </m:r>
        <m:r>
          <m:rPr>
            <m:sty m:val="p"/>
          </m:rPr>
          <m:t>≤</m:t>
        </m:r>
        <m:r>
          <m:t>1</m:t>
        </m:r>
      </m:oMath>
      <w:r>
        <w:t xml:space="preserve">).</w:t>
      </w:r>
    </w:p>
    <w:tbl>
      <w:tblPr>
        <w:tblStyle w:val="Table"/>
        <w:tblW w:type="pct" w:w="5000"/>
        <w:tblLayout w:type="fixed"/>
        <w:tblLook w:firstRow="1" w:lastRow="0" w:firstColumn="0" w:lastColumn="0" w:noHBand="0" w:noVBand="0" w:val="0020"/>
      </w:tblPr>
      <w:tblGrid>
        <w:gridCol w:w="1228"/>
        <w:gridCol w:w="3960"/>
        <w:gridCol w:w="2731"/>
      </w:tblGrid>
      <w:tr>
        <w:trPr>
          <w:tblHeader w:val="on"/>
        </w:trPr>
        <w:tc>
          <w:tcPr/>
          <w:p>
            <w:pPr>
              <w:pStyle w:val="Compact"/>
              <w:jc w:val="left"/>
            </w:pPr>
            <w:r>
              <w:t xml:space="preserve">Quantity</w:t>
            </w:r>
          </w:p>
        </w:tc>
        <w:tc>
          <w:tcPr/>
          <w:p>
            <w:pPr>
              <w:pStyle w:val="Compact"/>
              <w:jc w:val="left"/>
            </w:pPr>
            <w:r>
              <w:t xml:space="preserve">Value</w:t>
            </w:r>
          </w:p>
        </w:tc>
        <w:tc>
          <w:tcPr/>
          <w:p>
            <w:pPr>
              <w:pStyle w:val="Compact"/>
              <w:jc w:val="left"/>
            </w:pPr>
            <w:r>
              <w:t xml:space="preserve">Notes</w:t>
            </w:r>
          </w:p>
        </w:tc>
      </w:tr>
      <w:tr>
        <w:tc>
          <w:tcPr/>
          <w:p>
            <w:pPr>
              <w:pStyle w:val="Compact"/>
              <w:jc w:val="left"/>
            </w:pPr>
            <w:r>
              <w:rPr>
                <w:b/>
                <w:bCs/>
              </w:rPr>
              <w:t xml:space="preserve">Mean</w:t>
            </w:r>
          </w:p>
        </w:tc>
        <w:tc>
          <w:tcPr/>
          <w:p>
            <w:pPr>
              <w:pStyle w:val="Compact"/>
              <w:jc w:val="left"/>
            </w:pPr>
            <m:oMath>
              <m:r>
                <m:rPr>
                  <m:sty m:val="p"/>
                  <m:scr m:val="double-struck"/>
                </m:rPr>
                <m:t>E</m:t>
              </m:r>
              <m:d>
                <m:dPr>
                  <m:begChr m:val="("/>
                  <m:endChr m:val=")"/>
                  <m:sepChr m:val=""/>
                  <m:grow/>
                </m:dPr>
                <m:e>
                  <m:r>
                    <m:t>X</m:t>
                  </m:r>
                </m:e>
              </m:d>
              <m:r>
                <m:rPr>
                  <m:sty m:val="p"/>
                </m:rPr>
                <m:t>=</m:t>
              </m:r>
              <m:f>
                <m:fPr>
                  <m:type m:val="bar"/>
                </m:fPr>
                <m:num>
                  <m:r>
                    <m:t>r</m:t>
                  </m:r>
                  <m:d>
                    <m:dPr>
                      <m:begChr m:val="("/>
                      <m:endChr m:val=")"/>
                      <m:sepChr m:val=""/>
                      <m:grow/>
                    </m:dPr>
                    <m:e>
                      <m:r>
                        <m:t>1</m:t>
                      </m:r>
                      <m:r>
                        <m:rPr>
                          <m:sty m:val="p"/>
                        </m:rPr>
                        <m:t>−</m:t>
                      </m:r>
                      <m:r>
                        <m:t>p</m:t>
                      </m:r>
                    </m:e>
                  </m:d>
                </m:num>
                <m:den>
                  <m:r>
                    <m:t>p</m:t>
                  </m:r>
                </m:den>
              </m:f>
            </m:oMath>
          </w:p>
        </w:tc>
        <w:tc>
          <w:tcPr/>
          <w:p>
            <w:pPr>
              <w:pStyle w:val="Compact"/>
            </w:pPr>
          </w:p>
        </w:tc>
      </w:tr>
      <w:tr>
        <w:tc>
          <w:tcPr/>
          <w:p>
            <w:pPr>
              <w:pStyle w:val="Compact"/>
              <w:jc w:val="left"/>
            </w:pPr>
            <w:r>
              <w:rPr>
                <w:b/>
                <w:bCs/>
              </w:rPr>
              <w:t xml:space="preserve">Variance</w:t>
            </w:r>
          </w:p>
        </w:tc>
        <w:tc>
          <w:tcPr/>
          <w:p>
            <w:pPr>
              <w:pStyle w:val="Compact"/>
              <w:jc w:val="left"/>
            </w:pPr>
            <m:oMath>
              <m:r>
                <m:rPr>
                  <m:sty m:val="p"/>
                  <m:scr m:val="double-struck"/>
                </m:rPr>
                <m:t>V</m:t>
              </m:r>
              <m:d>
                <m:dPr>
                  <m:begChr m:val="("/>
                  <m:endChr m:val=")"/>
                  <m:sepChr m:val=""/>
                  <m:grow/>
                </m:dPr>
                <m:e>
                  <m:r>
                    <m:t>X</m:t>
                  </m:r>
                </m:e>
              </m:d>
              <m:r>
                <m:rPr>
                  <m:sty m:val="p"/>
                </m:rPr>
                <m:t>=</m:t>
              </m:r>
              <m:f>
                <m:fPr>
                  <m:type m:val="bar"/>
                </m:fPr>
                <m:num>
                  <m:r>
                    <m:t>r</m:t>
                  </m:r>
                  <m:d>
                    <m:dPr>
                      <m:begChr m:val="("/>
                      <m:endChr m:val=")"/>
                      <m:sepChr m:val=""/>
                      <m:grow/>
                    </m:dPr>
                    <m:e>
                      <m:r>
                        <m:t>1</m:t>
                      </m:r>
                      <m:r>
                        <m:rPr>
                          <m:sty m:val="p"/>
                        </m:rPr>
                        <m:t>−</m:t>
                      </m:r>
                      <m:r>
                        <m:t>p</m:t>
                      </m:r>
                    </m:e>
                  </m:d>
                </m:num>
                <m:den>
                  <m:sSup>
                    <m:e>
                      <m:r>
                        <m:t>p</m:t>
                      </m:r>
                    </m:e>
                    <m:sup>
                      <m:r>
                        <m:t>2</m:t>
                      </m:r>
                    </m:sup>
                  </m:sSup>
                </m:den>
              </m:f>
            </m:oMath>
          </w:p>
        </w:tc>
        <w:tc>
          <w:tcPr/>
          <w:p>
            <w:pPr>
              <w:pStyle w:val="Compact"/>
            </w:pPr>
          </w:p>
        </w:tc>
      </w:tr>
      <w:tr>
        <w:tc>
          <w:tcPr/>
          <w:p>
            <w:pPr>
              <w:pStyle w:val="Compact"/>
              <w:jc w:val="left"/>
            </w:pPr>
            <w:r>
              <w:rPr>
                <w:b/>
                <w:bCs/>
              </w:rPr>
              <w:t xml:space="preserve">PMF</w:t>
            </w:r>
          </w:p>
        </w:tc>
        <w:tc>
          <w:tcPr/>
          <w:p>
            <w:pPr>
              <w:pStyle w:val="Compact"/>
              <w:jc w:val="left"/>
            </w:pPr>
            <m:oMath>
              <m:r>
                <m:rPr>
                  <m:sty m:val="p"/>
                  <m:scr m:val="double-struck"/>
                </m:rPr>
                <m:t>P</m:t>
              </m:r>
              <m:d>
                <m:dPr>
                  <m:begChr m:val="("/>
                  <m:endChr m:val=")"/>
                  <m:sepChr m:val=""/>
                  <m:grow/>
                </m:dPr>
                <m:e>
                  <m:r>
                    <m:t>X</m:t>
                  </m:r>
                  <m:r>
                    <m:rPr>
                      <m:sty m:val="p"/>
                    </m:rPr>
                    <m:t>=</m:t>
                  </m:r>
                  <m:r>
                    <m:t>x</m:t>
                  </m:r>
                </m:e>
              </m:d>
              <m:r>
                <m:rPr>
                  <m:sty m:val="p"/>
                </m:rPr>
                <m:t>=</m:t>
              </m:r>
              <m:f>
                <m:fPr>
                  <m:type m:val="bar"/>
                </m:fPr>
                <m:num>
                  <m:d>
                    <m:dPr>
                      <m:begChr m:val="("/>
                      <m:endChr m:val=")"/>
                      <m:sepChr m:val=""/>
                      <m:grow/>
                    </m:dPr>
                    <m:e>
                      <m:r>
                        <m:t>x</m:t>
                      </m:r>
                      <m:r>
                        <m:rPr>
                          <m:sty m:val="p"/>
                        </m:rPr>
                        <m:t>+</m:t>
                      </m:r>
                      <m:r>
                        <m:t>r</m:t>
                      </m:r>
                      <m:r>
                        <m:rPr>
                          <m:sty m:val="p"/>
                        </m:rPr>
                        <m:t>−</m:t>
                      </m:r>
                      <m:r>
                        <m:t>1</m:t>
                      </m:r>
                    </m:e>
                  </m:d>
                  <m:r>
                    <m:rPr>
                      <m:sty m:val="p"/>
                    </m:rPr>
                    <m:t>!</m:t>
                  </m:r>
                </m:num>
                <m:den>
                  <m:d>
                    <m:dPr>
                      <m:begChr m:val="("/>
                      <m:endChr m:val=")"/>
                      <m:sepChr m:val=""/>
                      <m:grow/>
                    </m:dPr>
                    <m:e>
                      <m:r>
                        <m:t>r</m:t>
                      </m:r>
                      <m:r>
                        <m:rPr>
                          <m:sty m:val="p"/>
                        </m:rPr>
                        <m:t>−</m:t>
                      </m:r>
                      <m:r>
                        <m:t>1</m:t>
                      </m:r>
                    </m:e>
                  </m:d>
                  <m:r>
                    <m:rPr>
                      <m:sty m:val="p"/>
                    </m:rPr>
                    <m:t>!</m:t>
                  </m:r>
                  <m:r>
                    <m:t>x</m:t>
                  </m:r>
                  <m:r>
                    <m:rPr>
                      <m:sty m:val="p"/>
                    </m:rPr>
                    <m:t>!</m:t>
                  </m:r>
                </m:den>
              </m:f>
              <m:sSup>
                <m:e>
                  <m:d>
                    <m:dPr>
                      <m:begChr m:val="("/>
                      <m:endChr m:val=")"/>
                      <m:sepChr m:val=""/>
                      <m:grow/>
                    </m:dPr>
                    <m:e>
                      <m:r>
                        <m:t>1</m:t>
                      </m:r>
                      <m:r>
                        <m:rPr>
                          <m:sty m:val="p"/>
                        </m:rPr>
                        <m:t>−</m:t>
                      </m:r>
                      <m:r>
                        <m:t>p</m:t>
                      </m:r>
                    </m:e>
                  </m:d>
                </m:e>
                <m:sup>
                  <m:r>
                    <m:t>x</m:t>
                  </m:r>
                </m:sup>
              </m:sSup>
              <m:sSup>
                <m:e>
                  <m:r>
                    <m:t>p</m:t>
                  </m:r>
                </m:e>
                <m:sup>
                  <m:r>
                    <m:t>r</m:t>
                  </m:r>
                </m:sup>
              </m:sSup>
            </m:oMath>
          </w:p>
        </w:tc>
        <w:tc>
          <w:tcPr/>
          <w:p>
            <w:pPr>
              <w:pStyle w:val="Compact"/>
            </w:pPr>
          </w:p>
        </w:tc>
      </w:tr>
      <w:tr>
        <w:tc>
          <w:tcPr/>
          <w:p>
            <w:pPr>
              <w:pStyle w:val="Compact"/>
              <w:jc w:val="left"/>
            </w:pPr>
            <w:r>
              <w:rPr>
                <w:b/>
                <w:bCs/>
              </w:rPr>
              <w:t xml:space="preserve">CDF</w:t>
            </w:r>
          </w:p>
        </w:tc>
        <w:tc>
          <w:tcPr/>
          <w:p>
            <w:pPr>
              <w:pStyle w:val="Compact"/>
              <w:jc w:val="left"/>
            </w:pPr>
            <m:oMath>
              <m:r>
                <m:rPr>
                  <m:sty m:val="p"/>
                  <m:scr m:val="double-struck"/>
                </m:rPr>
                <m:t>P</m:t>
              </m:r>
              <m:d>
                <m:dPr>
                  <m:begChr m:val="("/>
                  <m:endChr m:val=")"/>
                  <m:sepChr m:val=""/>
                  <m:grow/>
                </m:dPr>
                <m:e>
                  <m:r>
                    <m:t>X</m:t>
                  </m:r>
                  <m:r>
                    <m:rPr>
                      <m:sty m:val="p"/>
                    </m:rPr>
                    <m:t>≤</m:t>
                  </m:r>
                  <m:r>
                    <m:t>x</m:t>
                  </m:r>
                </m:e>
              </m:d>
              <m:r>
                <m:rPr>
                  <m:sty m:val="p"/>
                </m:rPr>
                <m:t>=</m:t>
              </m:r>
              <m:nary>
                <m:naryPr>
                  <m:chr m:val="∑"/>
                  <m:limLoc m:val="undOvr"/>
                  <m:subHide m:val="off"/>
                  <m:supHide m:val="off"/>
                </m:naryPr>
                <m:sub>
                  <m:r>
                    <m:t>i</m:t>
                  </m:r>
                  <m:r>
                    <m:rPr>
                      <m:sty m:val="p"/>
                    </m:rPr>
                    <m:t>=</m:t>
                  </m:r>
                  <m:r>
                    <m:t>1</m:t>
                  </m:r>
                </m:sub>
                <m:sup>
                  <m:r>
                    <m:t>x</m:t>
                  </m:r>
                </m:sup>
                <m:e>
                  <m:f>
                    <m:fPr>
                      <m:type m:val="bar"/>
                    </m:fPr>
                    <m:num>
                      <m:d>
                        <m:dPr>
                          <m:begChr m:val="("/>
                          <m:endChr m:val=")"/>
                          <m:sepChr m:val=""/>
                          <m:grow/>
                        </m:dPr>
                        <m:e>
                          <m:r>
                            <m:t>x</m:t>
                          </m:r>
                          <m:r>
                            <m:rPr>
                              <m:sty m:val="p"/>
                            </m:rPr>
                            <m:t>+</m:t>
                          </m:r>
                          <m:r>
                            <m:t>r</m:t>
                          </m:r>
                          <m:r>
                            <m:rPr>
                              <m:sty m:val="p"/>
                            </m:rPr>
                            <m:t>−</m:t>
                          </m:r>
                          <m:r>
                            <m:t>1</m:t>
                          </m:r>
                        </m:e>
                      </m:d>
                      <m:r>
                        <m:rPr>
                          <m:sty m:val="p"/>
                        </m:rPr>
                        <m:t>!</m:t>
                      </m:r>
                    </m:num>
                    <m:den>
                      <m:d>
                        <m:dPr>
                          <m:begChr m:val="("/>
                          <m:endChr m:val=")"/>
                          <m:sepChr m:val=""/>
                          <m:grow/>
                        </m:dPr>
                        <m:e>
                          <m:r>
                            <m:t>r</m:t>
                          </m:r>
                          <m:r>
                            <m:rPr>
                              <m:sty m:val="p"/>
                            </m:rPr>
                            <m:t>−</m:t>
                          </m:r>
                          <m:r>
                            <m:t>1</m:t>
                          </m:r>
                        </m:e>
                      </m:d>
                      <m:r>
                        <m:rPr>
                          <m:sty m:val="p"/>
                        </m:rPr>
                        <m:t>!</m:t>
                      </m:r>
                      <m:r>
                        <m:t>x</m:t>
                      </m:r>
                      <m:r>
                        <m:rPr>
                          <m:sty m:val="p"/>
                        </m:rPr>
                        <m:t>!</m:t>
                      </m:r>
                    </m:den>
                  </m:f>
                </m:e>
              </m:nary>
              <m:sSup>
                <m:e>
                  <m:d>
                    <m:dPr>
                      <m:begChr m:val="("/>
                      <m:endChr m:val=")"/>
                      <m:sepChr m:val=""/>
                      <m:grow/>
                    </m:dPr>
                    <m:e>
                      <m:r>
                        <m:t>1</m:t>
                      </m:r>
                      <m:r>
                        <m:rPr>
                          <m:sty m:val="p"/>
                        </m:rPr>
                        <m:t>−</m:t>
                      </m:r>
                      <m:r>
                        <m:t>p</m:t>
                      </m:r>
                    </m:e>
                  </m:d>
                </m:e>
                <m:sup>
                  <m:r>
                    <m:t>x</m:t>
                  </m:r>
                </m:sup>
              </m:sSup>
              <m:sSup>
                <m:e>
                  <m:r>
                    <m:t>p</m:t>
                  </m:r>
                </m:e>
                <m:sup>
                  <m:r>
                    <m:t>r</m:t>
                  </m:r>
                </m:sup>
              </m:sSup>
            </m:oMath>
          </w:p>
        </w:tc>
        <w:tc>
          <w:tcPr/>
          <w:p>
            <w:pPr>
              <w:pStyle w:val="Compact"/>
            </w:pPr>
          </w:p>
        </w:tc>
      </w:tr>
    </w:tbl>
    <w:p>
      <w:pPr>
        <w:pStyle w:val="BodyText"/>
      </w:pPr>
      <w:r>
        <w:rPr>
          <w:b/>
          <w:bCs/>
        </w:rPr>
        <w:t xml:space="preserve">Example:</w:t>
      </w:r>
      <w:r>
        <w:t xml:space="preserve"> </w:t>
      </w:r>
      <w:r>
        <w:t xml:space="preserve">You flip a coin multiple times, and the probability of getting</w:t>
      </w:r>
      <w:r>
        <w:t xml:space="preserve"> </w:t>
      </w:r>
      <w:r>
        <w:t xml:space="preserve">‘</w:t>
      </w:r>
      <w:r>
        <w:t xml:space="preserve">heads</w:t>
      </w:r>
      <w:r>
        <w:t xml:space="preserve">’</w:t>
      </w:r>
      <w:r>
        <w:t xml:space="preserve"> </w:t>
      </w:r>
      <w:r>
        <w:t xml:space="preserve">is</w:t>
      </w:r>
      <w:r>
        <w:t xml:space="preserve"> </w:t>
      </w:r>
      <m:oMath>
        <m:r>
          <m:t>0.5</m:t>
        </m:r>
      </m:oMath>
      <w:r>
        <w:t xml:space="preserve">. You decide to stop flipping the coin once you get</w:t>
      </w:r>
      <w:r>
        <w:t xml:space="preserve"> </w:t>
      </w:r>
      <m:oMath>
        <m:r>
          <m:t>3</m:t>
        </m:r>
      </m:oMath>
      <w:r>
        <w:t xml:space="preserve"> </w:t>
      </w:r>
      <w:r>
        <w:t xml:space="preserve">‘</w:t>
      </w:r>
      <w:r>
        <w:t xml:space="preserve">heads</w:t>
      </w:r>
      <w:r>
        <w:t xml:space="preserve">’</w:t>
      </w:r>
      <w:r>
        <w:t xml:space="preserve">; these do not have to be consecutive. Taking</w:t>
      </w:r>
      <w:r>
        <w:t xml:space="preserve"> </w:t>
      </w:r>
      <w:r>
        <w:t xml:space="preserve">‘</w:t>
      </w:r>
      <w:r>
        <w:t xml:space="preserve">heads</w:t>
      </w:r>
      <w:r>
        <w:t xml:space="preserve">’</w:t>
      </w:r>
      <w:r>
        <w:t xml:space="preserve"> </w:t>
      </w:r>
      <w:r>
        <w:t xml:space="preserve">as a success, this can be expressed as</w:t>
      </w:r>
      <w:r>
        <w:t xml:space="preserve"> </w:t>
      </w:r>
      <m:oMath>
        <m:r>
          <m:t>X</m:t>
        </m:r>
        <m:r>
          <m:rPr>
            <m:sty m:val="p"/>
          </m:rPr>
          <m:t>∼</m:t>
        </m:r>
        <m:r>
          <m:rPr>
            <m:nor/>
            <m:sty m:val="p"/>
          </m:rPr>
          <m:t>NB</m:t>
        </m:r>
        <m:d>
          <m:dPr>
            <m:begChr m:val="("/>
            <m:endChr m:val=")"/>
            <m:sepChr m:val=""/>
            <m:grow/>
          </m:dPr>
          <m:e>
            <m:r>
              <m:t>3</m:t>
            </m:r>
            <m:r>
              <m:rPr>
                <m:sty m:val="p"/>
              </m:rPr>
              <m:t>,</m:t>
            </m:r>
            <m:r>
              <m:t>0.5</m:t>
            </m:r>
          </m:e>
        </m:d>
      </m:oMath>
      <w:r>
        <w:t xml:space="preserve">. It means the probability of success is</w:t>
      </w:r>
      <w:r>
        <w:t xml:space="preserve"> </w:t>
      </w:r>
      <m:oMath>
        <m:r>
          <m:t>0.5</m:t>
        </m:r>
      </m:oMath>
      <w:r>
        <w:t xml:space="preserve">, and you will stop conducting trials after you reach</w:t>
      </w:r>
      <w:r>
        <w:t xml:space="preserve"> </w:t>
      </w:r>
      <m:oMath>
        <m:r>
          <m:t>3</m:t>
        </m:r>
      </m:oMath>
      <w:r>
        <w:t xml:space="preserve"> </w:t>
      </w:r>
      <w:r>
        <w:t xml:space="preserve">successes.</w:t>
      </w:r>
    </w:p>
    <w:bookmarkStart w:id="26" w:name="further-reading"/>
    <w:p>
      <w:pPr>
        <w:pStyle w:val="Heading1"/>
      </w:pPr>
      <w:r>
        <w:t xml:space="preserve">Further reading</w:t>
      </w:r>
    </w:p>
    <w:p>
      <w:pPr>
        <w:pStyle w:val="FirstParagraph"/>
      </w:pPr>
      <w:r>
        <w:t xml:space="preserve">This interactive element appears in</w:t>
      </w:r>
      <w:r>
        <w:t xml:space="preserve"> </w:t>
      </w:r>
      <w:hyperlink r:id="rId23">
        <w:r>
          <w:rPr>
            <w:rStyle w:val="Hyperlink"/>
          </w:rPr>
          <w:t xml:space="preserve">Overview: Probability distributions.</w:t>
        </w:r>
      </w:hyperlink>
      <w:r>
        <w:t xml:space="preserve">.</w:t>
      </w:r>
    </w:p>
    <w:bookmarkStart w:id="25" w:name="version-history"/>
    <w:p>
      <w:pPr>
        <w:pStyle w:val="Heading2"/>
      </w:pPr>
      <w:r>
        <w:t xml:space="preserve">Version history</w:t>
      </w:r>
    </w:p>
    <w:p>
      <w:pPr>
        <w:pStyle w:val="FirstParagraph"/>
      </w:pPr>
      <w:r>
        <w:t xml:space="preserve">v1.0: initial version created 08/25 by tdhc.</w:t>
      </w:r>
    </w:p>
    <w:p>
      <w:pPr>
        <w:pStyle w:val="BodyText"/>
      </w:pPr>
      <w:hyperlink r:id="rId24">
        <w:r>
          <w:rPr>
            <w:rStyle w:val="Hyperlink"/>
          </w:rPr>
          <w:t xml:space="preserve">This work is licensed under CC BY-NC-SA 4.0.</w:t>
        </w:r>
      </w:hyperlink>
    </w:p>
    <w:bookmarkEnd w:id="25"/>
    <w:bookmarkEnd w:id="26"/>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23" Target="../overviews/o-distributions.qmd" TargetMode="External" /><Relationship Type="http://schemas.openxmlformats.org/officeDocument/2006/relationships/hyperlink" Id="rId24" Target="https://creativecommons.org/licenses/by-nc-sa/4.0/?ref=chooser-v1" TargetMode="External" /></Relationships>
</file>

<file path=word/_rels/footnotes.xml.rels><?xml version="1.0" encoding="UTF-8"?><Relationships xmlns="http://schemas.openxmlformats.org/package/2006/relationships"><Relationship Type="http://schemas.openxmlformats.org/officeDocument/2006/relationships/hyperlink" Id="rId23" Target="../overviews/o-distributions.qmd" TargetMode="External" /><Relationship Type="http://schemas.openxmlformats.org/officeDocument/2006/relationships/hyperlink" Id="rId24" Target="https://creativecommons.org/licenses/by-nc-sa/4.0/?ref=chooser-v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Factsheet: Negative binomial distribution</dc:title>
  <dc:creator>Michelle Arnetta and Tom Coleman</dc:creator>
  <cp:keywords/>
  <dcterms:created xsi:type="dcterms:W3CDTF">2025-08-20T15:00:33Z</dcterms:created>
  <dcterms:modified xsi:type="dcterms:W3CDTF">2025-08-20T15:00:33Z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 factsheet for the negative binomial distribution.</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