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Factsheet:</w:t>
      </w:r>
      <w:r>
        <w:t xml:space="preserve"> </w:t>
      </w:r>
      <w:r>
        <w:t xml:space="preserve">Normal</w:t>
      </w:r>
      <w:r>
        <w:t xml:space="preserve"> </w:t>
      </w:r>
      <w:r>
        <w:t xml:space="preserve">distribution</w:t>
      </w:r>
    </w:p>
    <w:p>
      <w:pPr>
        <w:pStyle w:val="Author"/>
      </w:pPr>
      <w:r>
        <w:t xml:space="preserve">Michelle</w:t>
      </w:r>
      <w:r>
        <w:t xml:space="preserve"> </w:t>
      </w:r>
      <w:r>
        <w:t xml:space="preserve">Arnetta</w:t>
      </w:r>
      <w:r>
        <w:t xml:space="preserve"> </w:t>
      </w:r>
      <w:r>
        <w:t xml:space="preserve">and</w:t>
      </w:r>
      <w:r>
        <w:t xml:space="preserve"> </w:t>
      </w:r>
      <w:r>
        <w:t xml:space="preserve">Tom</w:t>
      </w:r>
      <w:r>
        <w:t xml:space="preserve"> </w:t>
      </w:r>
      <w:r>
        <w:t xml:space="preserve">Coleman</w:t>
      </w:r>
    </w:p>
    <w:p>
      <w:pPr>
        <w:pStyle w:val="AbstractTitle"/>
      </w:pPr>
      <w:r>
        <w:t xml:space="preserve">Summary</w:t>
      </w:r>
    </w:p>
    <w:p>
      <w:pPr>
        <w:pStyle w:val="Abstract"/>
      </w:pPr>
      <w:r>
        <w:t xml:space="preserve">A</w:t>
      </w:r>
      <w:r>
        <w:t xml:space="preserve"> </w:t>
      </w:r>
      <w:r>
        <w:t xml:space="preserve">factsheet</w:t>
      </w:r>
      <w:r>
        <w:t xml:space="preserve"> </w:t>
      </w:r>
      <w:r>
        <w:t xml:space="preserve">for</w:t>
      </w:r>
      <w:r>
        <w:t xml:space="preserve"> </w:t>
      </w:r>
      <w:r>
        <w:t xml:space="preserve">the</w:t>
      </w:r>
      <w:r>
        <w:t xml:space="preserve"> </w:t>
      </w:r>
      <w:r>
        <w:t xml:space="preserve">normal</w:t>
      </w:r>
      <w:r>
        <w:t xml:space="preserve"> </w:t>
      </w:r>
      <w:r>
        <w:t xml:space="preserve">distribution</w:t>
      </w:r>
      <w:r>
        <w:t xml:space="preserve"> </w:t>
      </w:r>
      <m:oMath>
        <m:r>
          <m:t>N</m:t>
        </m:r>
        <m:d>
          <m:dPr>
            <m:begChr m:val="("/>
            <m:endChr m:val=")"/>
            <m:sepChr m:val=""/>
            <m:grow/>
          </m:dPr>
          <m:e>
            <m:r>
              <m:t>μ</m:t>
            </m:r>
            <m:r>
              <m:rPr>
                <m:sty m:val="p"/>
              </m:rPr>
              <m:t>,</m:t>
            </m:r>
            <m:sSup>
              <m:e>
                <m:r>
                  <m:t>σ</m:t>
                </m:r>
              </m:e>
              <m:sup>
                <m:r>
                  <m:t>2</m:t>
                </m:r>
              </m:sup>
            </m:sSup>
          </m:e>
        </m:d>
      </m:oMath>
      <w:r>
        <w:t xml:space="preserve">.</w:t>
      </w:r>
    </w:p>
    <w:p>
      <w:pPr>
        <w:pStyle w:val="CaptionedFigure"/>
      </w:pPr>
      <w:r>
        <w:drawing>
          <wp:inline>
            <wp:extent cx="4754880" cy="5661035"/>
            <wp:effectExtent b="0" l="0" r="0" t="0"/>
            <wp:docPr descr="An example of the normal distribution with \mu = 0 and \sigma = 1." title="" id="21" name="Picture"/>
            <a:graphic>
              <a:graphicData uri="http://schemas.openxmlformats.org/drawingml/2006/picture">
                <pic:pic>
                  <pic:nvPicPr>
                    <pic:cNvPr descr="./FiguresPNG/f-normaldist.png" id="22" name="Picture"/>
                    <pic:cNvPicPr>
                      <a:picLocks noChangeArrowheads="1" noChangeAspect="1"/>
                    </pic:cNvPicPr>
                  </pic:nvPicPr>
                  <pic:blipFill>
                    <a:blip r:embed="rId20"/>
                    <a:stretch>
                      <a:fillRect/>
                    </a:stretch>
                  </pic:blipFill>
                  <pic:spPr bwMode="auto">
                    <a:xfrm>
                      <a:off x="0" y="0"/>
                      <a:ext cx="4754880" cy="5661035"/>
                    </a:xfrm>
                    <a:prstGeom prst="rect">
                      <a:avLst/>
                    </a:prstGeom>
                    <a:noFill/>
                    <a:ln w="9525">
                      <a:noFill/>
                      <a:headEnd/>
                      <a:tailEnd/>
                    </a:ln>
                  </pic:spPr>
                </pic:pic>
              </a:graphicData>
            </a:graphic>
          </wp:inline>
        </w:drawing>
      </w:r>
    </w:p>
    <w:p>
      <w:pPr>
        <w:pStyle w:val="ImageCaption"/>
      </w:pPr>
      <w:r>
        <w:t xml:space="preserve">An example of the normal distribution with</w:t>
      </w:r>
      <w:r>
        <w:t xml:space="preserve"> </w:t>
      </w:r>
      <m:oMath>
        <m:r>
          <m:t>μ</m:t>
        </m:r>
        <m:r>
          <m:rPr>
            <m:sty m:val="p"/>
          </m:rPr>
          <m:t>=</m:t>
        </m:r>
        <m:r>
          <m:t>0</m:t>
        </m:r>
      </m:oMath>
      <w:r>
        <w:t xml:space="preserve"> </w:t>
      </w:r>
      <w:r>
        <w:t xml:space="preserve">and</w:t>
      </w:r>
      <w:r>
        <w:t xml:space="preserve"> </w:t>
      </w:r>
      <m:oMath>
        <m:r>
          <m:t>σ</m:t>
        </m:r>
        <m:r>
          <m:rPr>
            <m:sty m:val="p"/>
          </m:rPr>
          <m:t>=</m:t>
        </m:r>
        <m:r>
          <m:t>1</m:t>
        </m:r>
      </m:oMath>
      <w:r>
        <w:t xml:space="preserve">.</w:t>
      </w:r>
    </w:p>
    <w:p>
      <w:pPr>
        <w:pStyle w:val="BodyText"/>
      </w:pPr>
      <w:r>
        <w:rPr>
          <w:b/>
          <w:bCs/>
        </w:rPr>
        <w:t xml:space="preserve">Where to use:</w:t>
      </w:r>
      <w:r>
        <w:t xml:space="preserve"> </w:t>
      </w:r>
      <w:r>
        <w:t xml:space="preserve">The normal distribution can be used to model continuous random variables, which can include any positive or negative real values. The use of this distribution is often justified by the Central Limit Theorem: as the sample size increases, the distribution of sample means will resemble a normal distribution more and more closely.</w:t>
      </w:r>
    </w:p>
    <w:p>
      <w:pPr>
        <w:pStyle w:val="BodyText"/>
      </w:pPr>
      <w:r>
        <w:rPr>
          <w:b/>
          <w:bCs/>
        </w:rPr>
        <w:t xml:space="preserve">Notation:</w:t>
      </w:r>
      <w:r>
        <w:t xml:space="preserve"> </w:t>
      </w:r>
      <m:oMath>
        <m:r>
          <m:t>X</m:t>
        </m:r>
        <m:r>
          <m:rPr>
            <m:sty m:val="p"/>
          </m:rPr>
          <m:t>∼</m:t>
        </m:r>
        <m:r>
          <m:rPr>
            <m:nor/>
            <m:sty m:val="p"/>
          </m:rPr>
          <m:t>Normal</m:t>
        </m:r>
        <m:d>
          <m:dPr>
            <m:begChr m:val="("/>
            <m:endChr m:val=")"/>
            <m:sepChr m:val=""/>
            <m:grow/>
          </m:dPr>
          <m:e>
            <m:r>
              <m:t>μ</m:t>
            </m:r>
            <m:r>
              <m:rPr>
                <m:sty m:val="p"/>
              </m:rPr>
              <m:t>,</m:t>
            </m:r>
            <m:sSup>
              <m:e>
                <m:r>
                  <m:t>σ</m:t>
                </m:r>
              </m:e>
              <m:sup>
                <m:r>
                  <m:t>2</m:t>
                </m:r>
              </m:sup>
            </m:sSup>
          </m:e>
        </m:d>
      </m:oMath>
      <w:r>
        <w:t xml:space="preserve"> </w:t>
      </w:r>
      <w:r>
        <w:t xml:space="preserve">or</w:t>
      </w:r>
      <w:r>
        <w:t xml:space="preserve"> </w:t>
      </w:r>
      <m:oMath>
        <m:r>
          <m:t>X</m:t>
        </m:r>
        <m:r>
          <m:rPr>
            <m:sty m:val="p"/>
          </m:rPr>
          <m:t>∼</m:t>
        </m:r>
        <m:r>
          <m:t>N</m:t>
        </m:r>
        <m:d>
          <m:dPr>
            <m:begChr m:val="("/>
            <m:endChr m:val=")"/>
            <m:sepChr m:val=""/>
            <m:grow/>
          </m:dPr>
          <m:e>
            <m:r>
              <m:t>μ</m:t>
            </m:r>
            <m:r>
              <m:rPr>
                <m:sty m:val="p"/>
              </m:rPr>
              <m:t>,</m:t>
            </m:r>
            <m:sSup>
              <m:e>
                <m:r>
                  <m:t>σ</m:t>
                </m:r>
              </m:e>
              <m:sup>
                <m:r>
                  <m:t>2</m:t>
                </m:r>
              </m:sup>
            </m:sSup>
          </m:e>
        </m:d>
      </m:oMath>
    </w:p>
    <w:p>
      <w:pPr>
        <w:pStyle w:val="BodyText"/>
      </w:pPr>
      <w:r>
        <w:rPr>
          <w:b/>
          <w:bCs/>
        </w:rPr>
        <w:t xml:space="preserve">Parameters:</w:t>
      </w:r>
      <w:r>
        <w:t xml:space="preserve"> </w:t>
      </w:r>
      <w:r>
        <w:t xml:space="preserve">Two real numbers</w:t>
      </w:r>
      <w:r>
        <w:t xml:space="preserve"> </w:t>
      </w:r>
      <m:oMath>
        <m:r>
          <m:t>μ</m:t>
        </m:r>
      </m:oMath>
      <w:r>
        <w:t xml:space="preserve"> </w:t>
      </w:r>
      <w:r>
        <w:t xml:space="preserve">and</w:t>
      </w:r>
      <w:r>
        <w:t xml:space="preserve"> </w:t>
      </w:r>
      <m:oMath>
        <m:sSup>
          <m:e>
            <m:r>
              <m:t>σ</m:t>
            </m:r>
          </m:e>
          <m:sup>
            <m:r>
              <m:t>2</m:t>
            </m:r>
          </m:sup>
        </m:sSup>
      </m:oMath>
      <w:r>
        <w:t xml:space="preserve">.</w:t>
      </w:r>
    </w:p>
    <w:p>
      <w:pPr>
        <w:pStyle w:val="Compact"/>
        <w:numPr>
          <w:ilvl w:val="0"/>
          <w:numId w:val="1001"/>
        </w:numPr>
      </w:pPr>
      <m:oMath>
        <m:r>
          <m:t>μ</m:t>
        </m:r>
      </m:oMath>
      <w:r>
        <w:t xml:space="preserve"> </w:t>
      </w:r>
      <w:r>
        <w:t xml:space="preserve">is the centre of the distribution (the mean/expected value).</w:t>
      </w:r>
    </w:p>
    <w:p>
      <w:pPr>
        <w:pStyle w:val="Compact"/>
        <w:numPr>
          <w:ilvl w:val="0"/>
          <w:numId w:val="1001"/>
        </w:numPr>
      </w:pPr>
      <m:oMath>
        <m:sSup>
          <m:e>
            <m:r>
              <m:t>σ</m:t>
            </m:r>
          </m:e>
          <m:sup>
            <m:r>
              <m:t>2</m:t>
            </m:r>
          </m:sup>
        </m:sSup>
      </m:oMath>
      <w:r>
        <w:t xml:space="preserve"> </w:t>
      </w:r>
      <w:r>
        <w:t xml:space="preserve">is the measure of how the distribution is spread (the variance).</w:t>
      </w:r>
    </w:p>
    <w:tbl>
      <w:tblPr>
        <w:tblStyle w:val="Table"/>
        <w:tblW w:type="pct" w:w="5000"/>
        <w:tblLayout w:type="fixed"/>
        <w:tblLook w:firstRow="1" w:lastRow="0" w:firstColumn="0" w:lastColumn="0" w:noHBand="0" w:noVBand="0" w:val="0020"/>
      </w:tblPr>
      <w:tblGrid>
        <w:gridCol w:w="1228"/>
        <w:gridCol w:w="3960"/>
        <w:gridCol w:w="2731"/>
      </w:tblGrid>
      <w:tr>
        <w:trPr>
          <w:tblHeader w:val="on"/>
        </w:trPr>
        <w:tc>
          <w:tcPr/>
          <w:p>
            <w:pPr>
              <w:pStyle w:val="Compact"/>
              <w:jc w:val="left"/>
            </w:pPr>
            <w:r>
              <w:t xml:space="preserve">Quantity</w:t>
            </w:r>
          </w:p>
        </w:tc>
        <w:tc>
          <w:tcPr/>
          <w:p>
            <w:pPr>
              <w:pStyle w:val="Compact"/>
              <w:jc w:val="left"/>
            </w:pPr>
            <w:r>
              <w:t xml:space="preserve">Value</w:t>
            </w:r>
          </w:p>
        </w:tc>
        <w:tc>
          <w:tcPr/>
          <w:p>
            <w:pPr>
              <w:pStyle w:val="Compact"/>
              <w:jc w:val="left"/>
            </w:pPr>
            <w:r>
              <w:t xml:space="preserve">Notes</w:t>
            </w:r>
          </w:p>
        </w:tc>
      </w:tr>
      <w:tr>
        <w:tc>
          <w:tcPr/>
          <w:p>
            <w:pPr>
              <w:pStyle w:val="Compact"/>
              <w:jc w:val="left"/>
            </w:pPr>
            <w:r>
              <w:rPr>
                <w:b/>
                <w:bCs/>
              </w:rPr>
              <w:t xml:space="preserve">Mean</w:t>
            </w:r>
          </w:p>
        </w:tc>
        <w:tc>
          <w:tcPr/>
          <w:p>
            <w:pPr>
              <w:pStyle w:val="Compact"/>
              <w:jc w:val="left"/>
            </w:pPr>
            <m:oMath>
              <m:r>
                <m:rPr>
                  <m:sty m:val="p"/>
                  <m:scr m:val="double-struck"/>
                </m:rPr>
                <m:t>E</m:t>
              </m:r>
              <m:d>
                <m:dPr>
                  <m:begChr m:val="("/>
                  <m:endChr m:val=")"/>
                  <m:sepChr m:val=""/>
                  <m:grow/>
                </m:dPr>
                <m:e>
                  <m:r>
                    <m:t>X</m:t>
                  </m:r>
                </m:e>
              </m:d>
              <m:r>
                <m:rPr>
                  <m:sty m:val="p"/>
                </m:rPr>
                <m:t>=</m:t>
              </m:r>
              <m:r>
                <m:t>μ</m:t>
              </m:r>
            </m:oMath>
          </w:p>
        </w:tc>
        <w:tc>
          <w:tcPr/>
          <w:p>
            <w:pPr>
              <w:pStyle w:val="Compact"/>
            </w:pPr>
          </w:p>
        </w:tc>
      </w:tr>
      <w:tr>
        <w:tc>
          <w:tcPr/>
          <w:p>
            <w:pPr>
              <w:pStyle w:val="Compact"/>
              <w:jc w:val="left"/>
            </w:pPr>
            <w:r>
              <w:rPr>
                <w:b/>
                <w:bCs/>
              </w:rPr>
              <w:t xml:space="preserve">Variance</w:t>
            </w:r>
          </w:p>
        </w:tc>
        <w:tc>
          <w:tcPr/>
          <w:p>
            <w:pPr>
              <w:pStyle w:val="Compact"/>
              <w:jc w:val="left"/>
            </w:pPr>
            <m:oMath>
              <m:r>
                <m:rPr>
                  <m:sty m:val="p"/>
                  <m:scr m:val="double-struck"/>
                </m:rPr>
                <m:t>V</m:t>
              </m:r>
              <m:d>
                <m:dPr>
                  <m:begChr m:val="("/>
                  <m:endChr m:val=")"/>
                  <m:sepChr m:val=""/>
                  <m:grow/>
                </m:dPr>
                <m:e>
                  <m:r>
                    <m:t>X</m:t>
                  </m:r>
                </m:e>
              </m:d>
              <m:r>
                <m:rPr>
                  <m:sty m:val="p"/>
                </m:rPr>
                <m:t>=</m:t>
              </m:r>
              <m:sSup>
                <m:e>
                  <m:r>
                    <m:t>σ</m:t>
                  </m:r>
                </m:e>
                <m:sup>
                  <m:r>
                    <m:t>2</m:t>
                  </m:r>
                </m:sup>
              </m:sSup>
            </m:oMath>
          </w:p>
        </w:tc>
        <w:tc>
          <w:tcPr/>
          <w:p>
            <w:pPr>
              <w:pStyle w:val="Compact"/>
            </w:pPr>
          </w:p>
        </w:tc>
      </w:tr>
      <w:tr>
        <w:tc>
          <w:tcPr/>
          <w:p>
            <w:pPr>
              <w:pStyle w:val="Compact"/>
              <w:jc w:val="left"/>
            </w:pPr>
            <w:r>
              <w:rPr>
                <w:b/>
                <w:bCs/>
              </w:rPr>
              <w:t xml:space="preserve">PDF</w:t>
            </w:r>
          </w:p>
        </w:tc>
        <w:tc>
          <w:tcPr/>
          <w:p>
            <w:pPr>
              <w:pStyle w:val="Compact"/>
              <w:jc w:val="left"/>
            </w:pPr>
            <m:oMath>
              <m:r>
                <m:rPr>
                  <m:sty m:val="p"/>
                  <m:scr m:val="double-struck"/>
                </m:rPr>
                <m:t>P</m:t>
              </m:r>
              <m:d>
                <m:dPr>
                  <m:begChr m:val="("/>
                  <m:endChr m:val=")"/>
                  <m:sepChr m:val=""/>
                  <m:grow/>
                </m:dPr>
                <m:e>
                  <m:r>
                    <m:t>X</m:t>
                  </m:r>
                  <m:r>
                    <m:rPr>
                      <m:sty m:val="p"/>
                    </m:rPr>
                    <m:t>=</m:t>
                  </m:r>
                  <m:r>
                    <m:t>x</m:t>
                  </m:r>
                </m:e>
              </m:d>
              <m:r>
                <m:rPr>
                  <m:sty m:val="p"/>
                </m:rPr>
                <m:t>=</m:t>
              </m:r>
              <m:f>
                <m:fPr>
                  <m:type m:val="bar"/>
                </m:fPr>
                <m:num>
                  <m:r>
                    <m:t>1</m:t>
                  </m:r>
                </m:num>
                <m:den>
                  <m:rad>
                    <m:radPr>
                      <m:degHide m:val="on"/>
                    </m:radPr>
                    <m:deg/>
                    <m:e>
                      <m:r>
                        <m:t>2</m:t>
                      </m:r>
                      <m:r>
                        <m:t>π</m:t>
                      </m:r>
                      <m:sSup>
                        <m:e>
                          <m:r>
                            <m:t>σ</m:t>
                          </m:r>
                        </m:e>
                        <m:sup>
                          <m:r>
                            <m:t>2</m:t>
                          </m:r>
                        </m:sup>
                      </m:sSup>
                    </m:e>
                  </m:rad>
                </m:den>
              </m:f>
              <m:r>
                <m:rPr>
                  <m:sty m:val="p"/>
                </m:rPr>
                <m:t>exp</m:t>
              </m:r>
              <m:d>
                <m:dPr>
                  <m:begChr m:val="("/>
                  <m:endChr m:val=")"/>
                  <m:sepChr m:val=""/>
                  <m:grow/>
                </m:dPr>
                <m:e>
                  <m:r>
                    <m:rPr>
                      <m:sty m:val="p"/>
                    </m:rPr>
                    <m:t>−</m:t>
                  </m:r>
                  <m:f>
                    <m:fPr>
                      <m:type m:val="bar"/>
                    </m:fPr>
                    <m:num>
                      <m:sSup>
                        <m:e>
                          <m:d>
                            <m:dPr>
                              <m:begChr m:val="("/>
                              <m:endChr m:val=")"/>
                              <m:sepChr m:val=""/>
                              <m:grow/>
                            </m:dPr>
                            <m:e>
                              <m:r>
                                <m:t>x</m:t>
                              </m:r>
                              <m:r>
                                <m:rPr>
                                  <m:sty m:val="p"/>
                                </m:rPr>
                                <m:t>−</m:t>
                              </m:r>
                              <m:r>
                                <m:t>μ</m:t>
                              </m:r>
                            </m:e>
                          </m:d>
                        </m:e>
                        <m:sup>
                          <m:r>
                            <m:t>2</m:t>
                          </m:r>
                        </m:sup>
                      </m:sSup>
                    </m:num>
                    <m:den>
                      <m:r>
                        <m:t>2</m:t>
                      </m:r>
                      <m:sSup>
                        <m:e>
                          <m:r>
                            <m:t>σ</m:t>
                          </m:r>
                        </m:e>
                        <m:sup>
                          <m:r>
                            <m:t>2</m:t>
                          </m:r>
                        </m:sup>
                      </m:sSup>
                    </m:den>
                  </m:f>
                </m:e>
              </m:d>
            </m:oMath>
          </w:p>
        </w:tc>
        <w:tc>
          <w:tcPr/>
          <w:p>
            <w:pPr>
              <w:pStyle w:val="Compact"/>
              <w:jc w:val="left"/>
            </w:pPr>
            <m:oMath>
              <m:r>
                <m:rPr>
                  <m:sty m:val="p"/>
                </m:rPr>
                <m:t>exp</m:t>
              </m:r>
              <m:d>
                <m:dPr>
                  <m:begChr m:val="("/>
                  <m:endChr m:val=")"/>
                  <m:sepChr m:val=""/>
                  <m:grow/>
                </m:dPr>
                <m:e>
                  <m:r>
                    <m:t>y</m:t>
                  </m:r>
                </m:e>
              </m:d>
              <m:r>
                <m:rPr>
                  <m:sty m:val="p"/>
                </m:rPr>
                <m:t>=</m:t>
              </m:r>
              <m:sSup>
                <m:e>
                  <m:r>
                    <m:t>e</m:t>
                  </m:r>
                </m:e>
                <m:sup>
                  <m:r>
                    <m:t>y</m:t>
                  </m:r>
                </m:sup>
              </m:sSup>
            </m:oMath>
          </w:p>
        </w:tc>
      </w:tr>
      <w:tr>
        <w:tc>
          <w:tcPr/>
          <w:p>
            <w:pPr>
              <w:pStyle w:val="Compact"/>
              <w:jc w:val="left"/>
            </w:pPr>
            <w:r>
              <w:rPr>
                <w:b/>
                <w:bCs/>
              </w:rPr>
              <w:t xml:space="preserve">CDF</w:t>
            </w:r>
          </w:p>
        </w:tc>
        <w:tc>
          <w:tcPr/>
          <w:p>
            <w:pPr>
              <w:pStyle w:val="Compact"/>
              <w:jc w:val="left"/>
            </w:pPr>
            <m:oMath>
              <m:r>
                <m:rPr>
                  <m:sty m:val="p"/>
                  <m:scr m:val="double-struck"/>
                </m:rPr>
                <m:t>P</m:t>
              </m:r>
              <m:d>
                <m:dPr>
                  <m:begChr m:val="("/>
                  <m:endChr m:val=")"/>
                  <m:sepChr m:val=""/>
                  <m:grow/>
                </m:dPr>
                <m:e>
                  <m:r>
                    <m:t>X</m:t>
                  </m:r>
                  <m:r>
                    <m:rPr>
                      <m:sty m:val="p"/>
                    </m:rPr>
                    <m:t>≤</m:t>
                  </m:r>
                  <m:r>
                    <m:t>x</m:t>
                  </m:r>
                </m:e>
              </m:d>
              <m:r>
                <m:rPr>
                  <m:sty m:val="p"/>
                </m:rPr>
                <m:t>=</m:t>
              </m:r>
              <m:f>
                <m:fPr>
                  <m:type m:val="bar"/>
                </m:fPr>
                <m:num>
                  <m:r>
                    <m:t>1</m:t>
                  </m:r>
                </m:num>
                <m:den>
                  <m:r>
                    <m:t>2</m:t>
                  </m:r>
                </m:den>
              </m:f>
              <m:d>
                <m:dPr>
                  <m:begChr m:val="["/>
                  <m:endChr m:val="]"/>
                  <m:sepChr m:val=""/>
                  <m:grow/>
                </m:dPr>
                <m:e>
                  <m:r>
                    <m:t>1</m:t>
                  </m:r>
                  <m:r>
                    <m:rPr>
                      <m:sty m:val="p"/>
                    </m:rPr>
                    <m:t>+</m:t>
                  </m:r>
                  <m:r>
                    <m:rPr>
                      <m:nor/>
                      <m:sty m:val="p"/>
                    </m:rPr>
                    <m:t>erf</m:t>
                  </m:r>
                  <m:d>
                    <m:dPr>
                      <m:begChr m:val="("/>
                      <m:endChr m:val=")"/>
                      <m:sepChr m:val=""/>
                      <m:grow/>
                    </m:dPr>
                    <m:e>
                      <m:f>
                        <m:fPr>
                          <m:type m:val="bar"/>
                        </m:fPr>
                        <m:num>
                          <m:r>
                            <m:t>x</m:t>
                          </m:r>
                          <m:r>
                            <m:rPr>
                              <m:sty m:val="p"/>
                            </m:rPr>
                            <m:t>−</m:t>
                          </m:r>
                          <m:r>
                            <m:t>μ</m:t>
                          </m:r>
                        </m:num>
                        <m:den>
                          <m:r>
                            <m:t>σ</m:t>
                          </m:r>
                          <m:rad>
                            <m:radPr>
                              <m:degHide m:val="on"/>
                            </m:radPr>
                            <m:deg/>
                            <m:e>
                              <m:r>
                                <m:t>2</m:t>
                              </m:r>
                            </m:e>
                          </m:rad>
                        </m:den>
                      </m:f>
                    </m:e>
                  </m:d>
                </m:e>
              </m:d>
            </m:oMath>
          </w:p>
        </w:tc>
        <w:tc>
          <w:tcPr/>
          <w:p>
            <w:pPr>
              <w:pStyle w:val="Compact"/>
              <w:jc w:val="left"/>
            </w:pPr>
            <m:oMath>
              <m:r>
                <m:rPr>
                  <m:nor/>
                  <m:sty m:val="p"/>
                </m:rPr>
                <m:t>erf</m:t>
              </m:r>
              <m:d>
                <m:dPr>
                  <m:begChr m:val="("/>
                  <m:endChr m:val=")"/>
                  <m:sepChr m:val=""/>
                  <m:grow/>
                </m:dPr>
                <m:e>
                  <m:r>
                    <m:t>x</m:t>
                  </m:r>
                </m:e>
              </m:d>
            </m:oMath>
            <w:r>
              <w:t xml:space="preserve"> </w:t>
            </w:r>
            <w:r>
              <w:t xml:space="preserve">is the error function of</w:t>
            </w:r>
            <w:r>
              <w:t xml:space="preserve"> </w:t>
            </w:r>
            <m:oMath>
              <m:r>
                <m:t>x</m:t>
              </m:r>
            </m:oMath>
          </w:p>
        </w:tc>
      </w:tr>
    </w:tbl>
    <w:p>
      <w:pPr>
        <w:pStyle w:val="BodyText"/>
      </w:pPr>
      <w:r>
        <w:rPr>
          <w:b/>
          <w:bCs/>
        </w:rPr>
        <w:t xml:space="preserve">Example:</w:t>
      </w:r>
      <w:r>
        <w:t xml:space="preserve"> </w:t>
      </w:r>
      <w:r>
        <w:t xml:space="preserve">The lengths of chocolate bars produced by Cantor’s Confectionery follow a normal distribution with a mean of</w:t>
      </w:r>
      <w:r>
        <w:t xml:space="preserve"> </w:t>
      </w:r>
      <m:oMath>
        <m:r>
          <m:t>5.6</m:t>
        </m:r>
      </m:oMath>
      <w:r>
        <w:t xml:space="preserve"> </w:t>
      </w:r>
      <w:r>
        <w:t xml:space="preserve">inches and a variance of</w:t>
      </w:r>
      <w:r>
        <w:t xml:space="preserve"> </w:t>
      </w:r>
      <m:oMath>
        <m:r>
          <m:t>1.44</m:t>
        </m:r>
      </m:oMath>
      <w:r>
        <w:t xml:space="preserve">. This can be expressed as</w:t>
      </w:r>
      <w:r>
        <w:t xml:space="preserve"> </w:t>
      </w:r>
      <m:oMath>
        <m:r>
          <m:t>X</m:t>
        </m:r>
        <m:r>
          <m:rPr>
            <m:sty m:val="p"/>
          </m:rPr>
          <m:t>∼</m:t>
        </m:r>
        <m:r>
          <m:t>N</m:t>
        </m:r>
        <m:d>
          <m:dPr>
            <m:begChr m:val="("/>
            <m:endChr m:val=")"/>
            <m:sepChr m:val=""/>
            <m:grow/>
          </m:dPr>
          <m:e>
            <m:r>
              <m:t>5.6</m:t>
            </m:r>
            <m:r>
              <m:rPr>
                <m:sty m:val="p"/>
              </m:rPr>
              <m:t>,</m:t>
            </m:r>
            <m:r>
              <m:t>1.44</m:t>
            </m:r>
          </m:e>
        </m:d>
      </m:oMath>
      <w:r>
        <w:t xml:space="preserve">, meaning the data is normally distributed, centered at</w:t>
      </w:r>
      <w:r>
        <w:t xml:space="preserve"> </w:t>
      </w:r>
      <m:oMath>
        <m:r>
          <m:t>5.6</m:t>
        </m:r>
      </m:oMath>
      <w:r>
        <w:t xml:space="preserve"> </w:t>
      </w:r>
      <w:r>
        <w:t xml:space="preserve">with standard deviation</w:t>
      </w:r>
      <w:r>
        <w:t xml:space="preserve"> </w:t>
      </w:r>
      <m:oMath>
        <m:rad>
          <m:radPr>
            <m:degHide m:val="on"/>
          </m:radPr>
          <m:deg/>
          <m:e>
            <m:r>
              <m:t>1.44</m:t>
            </m:r>
          </m:e>
        </m:rad>
        <m:r>
          <m:rPr>
            <m:sty m:val="p"/>
          </m:rPr>
          <m:t>=</m:t>
        </m:r>
        <m:r>
          <m:t>1.2</m:t>
        </m:r>
      </m:oMath>
      <w:r>
        <w:t xml:space="preserve">.</w:t>
      </w:r>
    </w:p>
    <w:bookmarkStart w:id="27" w:name="further-reading"/>
    <w:p>
      <w:pPr>
        <w:pStyle w:val="Heading1"/>
      </w:pPr>
      <w:r>
        <w:t xml:space="preserve">Further reading</w:t>
      </w:r>
    </w:p>
    <w:p>
      <w:pPr>
        <w:pStyle w:val="FirstParagraph"/>
      </w:pPr>
      <w:r>
        <w:t xml:space="preserve">This interactive element appears in</w:t>
      </w:r>
      <w:r>
        <w:t xml:space="preserve"> </w:t>
      </w:r>
      <w:hyperlink r:id="rId23">
        <w:r>
          <w:rPr>
            <w:rStyle w:val="Hyperlink"/>
          </w:rPr>
          <w:t xml:space="preserve">Guide: PMFs, PDFs, CDFs</w:t>
        </w:r>
      </w:hyperlink>
      <w:r>
        <w:t xml:space="preserve"> </w:t>
      </w:r>
      <w:r>
        <w:t xml:space="preserve">and</w:t>
      </w:r>
      <w:r>
        <w:t xml:space="preserve"> </w:t>
      </w:r>
      <w:hyperlink r:id="rId24">
        <w:r>
          <w:rPr>
            <w:rStyle w:val="Hyperlink"/>
          </w:rPr>
          <w:t xml:space="preserve">Overview: Probability distributions.</w:t>
        </w:r>
      </w:hyperlink>
      <w:r>
        <w:t xml:space="preserve"> </w:t>
      </w:r>
      <w:r>
        <w:t xml:space="preserve">Please click the relevant links to go to the guides.</w:t>
      </w:r>
    </w:p>
    <w:bookmarkStart w:id="26" w:name="version-history"/>
    <w:p>
      <w:pPr>
        <w:pStyle w:val="Heading2"/>
      </w:pPr>
      <w:r>
        <w:t xml:space="preserve">Version history</w:t>
      </w:r>
    </w:p>
    <w:p>
      <w:pPr>
        <w:pStyle w:val="FirstParagraph"/>
      </w:pPr>
      <w:r>
        <w:t xml:space="preserve">v1.0: initial version created 04/25 by tdhc and Michelle Arnetta as part of a University of St Andrews VIP project.</w:t>
      </w:r>
    </w:p>
    <w:p>
      <w:pPr>
        <w:pStyle w:val="Compact"/>
        <w:numPr>
          <w:ilvl w:val="0"/>
          <w:numId w:val="1002"/>
        </w:numPr>
      </w:pPr>
      <w:r>
        <w:t xml:space="preserve">v1.1: moved to factsheet form and populated with material from</w:t>
      </w:r>
      <w:r>
        <w:t xml:space="preserve"> </w:t>
      </w:r>
      <w:hyperlink r:id="rId24">
        <w:r>
          <w:rPr>
            <w:rStyle w:val="Hyperlink"/>
          </w:rPr>
          <w:t xml:space="preserve">Overview: Probability distributions</w:t>
        </w:r>
      </w:hyperlink>
      <w:r>
        <w:t xml:space="preserve"> </w:t>
      </w:r>
      <w:r>
        <w:t xml:space="preserve">by tdhc.</w:t>
      </w:r>
    </w:p>
    <w:p>
      <w:pPr>
        <w:pStyle w:val="FirstParagraph"/>
      </w:pPr>
      <w:hyperlink r:id="rId25">
        <w:r>
          <w:rPr>
            <w:rStyle w:val="Hyperlink"/>
          </w:rPr>
          <w:t xml:space="preserve">This work is licensed under CC BY-NC-SA 4.0.</w:t>
        </w:r>
      </w:hyperlink>
    </w:p>
    <w:bookmarkEnd w:id="26"/>
    <w:bookmarkEnd w:id="2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4" Target="../overviews/o-distributions.qmd" TargetMode="External" /><Relationship Type="http://schemas.openxmlformats.org/officeDocument/2006/relationships/hyperlink" Id="rId23" Target="../studyguides/pmfspdfscdfs.qmd" TargetMode="External" /><Relationship Type="http://schemas.openxmlformats.org/officeDocument/2006/relationships/hyperlink" Id="rId2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24" Target="../overviews/o-distributions.qmd" TargetMode="External" /><Relationship Type="http://schemas.openxmlformats.org/officeDocument/2006/relationships/hyperlink" Id="rId23" Target="../studyguides/pmfspdfscdfs.qmd" TargetMode="External" /><Relationship Type="http://schemas.openxmlformats.org/officeDocument/2006/relationships/hyperlink" Id="rId2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Factsheet: Normal distribution</dc:title>
  <dc:creator>Michelle Arnetta and Tom Coleman</dc:creator>
  <cp:keywords/>
  <dcterms:created xsi:type="dcterms:W3CDTF">2025-08-28T14:58:52Z</dcterms:created>
  <dcterms:modified xsi:type="dcterms:W3CDTF">2025-08-28T14:58:52Z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factsheet for the normal distribution N(\mu,\sigma^2).</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