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Normal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normal</w:t>
      </w:r>
      <w:r>
        <w:t xml:space="preserve"> </w:t>
      </w:r>
      <w:r>
        <w:t xml:space="preserve">distribution</w:t>
      </w:r>
      <w:r>
        <w:t xml:space="preserve"> </w:t>
      </w:r>
      <m:oMath>
        <m:r>
          <m:t>N</m:t>
        </m:r>
        <m:d>
          <m:dPr>
            <m:begChr m:val="("/>
            <m:endChr m:val=")"/>
            <m:sepChr m:val=""/>
            <m:grow/>
          </m:dPr>
          <m:e>
            <m:r>
              <m:t>μ</m:t>
            </m:r>
            <m:r>
              <m:rPr>
                <m:sty m:val="p"/>
              </m:rPr>
              <m:t>,</m:t>
            </m:r>
            <m:sSup>
              <m:e>
                <m:r>
                  <m:t>σ</m:t>
                </m:r>
              </m:e>
              <m:sup>
                <m:r>
                  <m:t>2</m:t>
                </m:r>
              </m:sup>
            </m:sSup>
          </m:e>
        </m:d>
      </m:oMath>
      <w:r>
        <w:t xml:space="preserve">.</w:t>
      </w:r>
    </w:p>
    <w:p>
      <w:pPr>
        <w:pStyle w:val="CaptionedFigure"/>
      </w:pPr>
      <w:r>
        <w:drawing>
          <wp:inline>
            <wp:extent cx="4754880" cy="5661035"/>
            <wp:effectExtent b="0" l="0" r="0" t="0"/>
            <wp:docPr descr="An example of the normal distribution with \mu = 0 and \sigma = 1." title="" id="21" name="Picture"/>
            <a:graphic>
              <a:graphicData uri="http://schemas.openxmlformats.org/drawingml/2006/picture">
                <pic:pic>
                  <pic:nvPicPr>
                    <pic:cNvPr descr="./FiguresPNG/f-normaldist.png" id="22" name="Picture"/>
                    <pic:cNvPicPr>
                      <a:picLocks noChangeArrowheads="1" noChangeAspect="1"/>
                    </pic:cNvPicPr>
                  </pic:nvPicPr>
                  <pic:blipFill>
                    <a:blip r:embed="rId20"/>
                    <a:stretch>
                      <a:fillRect/>
                    </a:stretch>
                  </pic:blipFill>
                  <pic:spPr bwMode="auto">
                    <a:xfrm>
                      <a:off x="0" y="0"/>
                      <a:ext cx="4754880" cy="5661035"/>
                    </a:xfrm>
                    <a:prstGeom prst="rect">
                      <a:avLst/>
                    </a:prstGeom>
                    <a:noFill/>
                    <a:ln w="9525">
                      <a:noFill/>
                      <a:headEnd/>
                      <a:tailEnd/>
                    </a:ln>
                  </pic:spPr>
                </pic:pic>
              </a:graphicData>
            </a:graphic>
          </wp:inline>
        </w:drawing>
      </w:r>
    </w:p>
    <w:p>
      <w:pPr>
        <w:pStyle w:val="ImageCaption"/>
      </w:pPr>
      <w:r>
        <w:t xml:space="preserve">An example of the normal distribution 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w:t>
      </w:r>
    </w:p>
    <w:p>
      <w:pPr>
        <w:pStyle w:val="BodyText"/>
      </w:pPr>
      <w:r>
        <w:rPr>
          <w:b/>
          <w:bCs/>
        </w:rPr>
        <w:t xml:space="preserve">Where to use:</w:t>
      </w:r>
      <w:r>
        <w:t xml:space="preserve"> </w:t>
      </w:r>
      <w:r>
        <w:t xml:space="preserve">The normal distribution can be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r>
        <w:t xml:space="preserve"> </w:t>
      </w:r>
      <w:r>
        <w:t xml:space="preserve">Two real numbers</w:t>
      </w:r>
      <w:r>
        <w:t xml:space="preserve"> </w:t>
      </w:r>
      <m:oMath>
        <m:r>
          <m:t>μ</m:t>
        </m:r>
      </m:oMath>
      <w:r>
        <w:t xml:space="preserve"> </w:t>
      </w:r>
      <w:r>
        <w:t xml:space="preserve">and</w:t>
      </w:r>
      <w:r>
        <w:t xml:space="preserve"> </w:t>
      </w:r>
      <m:oMath>
        <m:sSup>
          <m:e>
            <m:r>
              <m:t>σ</m:t>
            </m:r>
          </m:e>
          <m:sup>
            <m:r>
              <m:t>2</m:t>
            </m:r>
          </m:sup>
        </m:sSup>
      </m:oMath>
      <w:r>
        <w:t xml:space="preserve">.</w:t>
      </w:r>
    </w:p>
    <w:p>
      <w:pPr>
        <w:pStyle w:val="Compact"/>
        <w:numPr>
          <w:ilvl w:val="0"/>
          <w:numId w:val="1001"/>
        </w:numPr>
      </w:pPr>
      <m:oMath>
        <m:r>
          <m:t>μ</m:t>
        </m:r>
      </m:oMath>
      <w:r>
        <w:t xml:space="preserve"> </w:t>
      </w:r>
      <w:r>
        <w:t xml:space="preserve">is the centre of the distribution (the mean/expected value).</w:t>
      </w:r>
    </w:p>
    <w:p>
      <w:pPr>
        <w:pStyle w:val="Compact"/>
        <w:numPr>
          <w:ilvl w:val="0"/>
          <w:numId w:val="1001"/>
        </w:numPr>
      </w:pPr>
      <m:oMath>
        <m:sSup>
          <m:e>
            <m:r>
              <m:t>σ</m:t>
            </m:r>
          </m:e>
          <m:sup>
            <m:r>
              <m:t>2</m:t>
            </m:r>
          </m:sup>
        </m:sSup>
      </m:oMath>
      <w:r>
        <w:t xml:space="preserve"> </w:t>
      </w:r>
      <w:r>
        <w:t xml:space="preserve">is the measure of how the distribution is spread (the variance).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μ</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sSup>
                <m:e>
                  <m:r>
                    <m:t>σ</m:t>
                  </m:r>
                </m:e>
                <m:sup>
                  <m:r>
                    <m:t>2</m:t>
                  </m:r>
                </m:sup>
              </m:sSup>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p>
        </w:tc>
        <w:tc>
          <w:tcPr/>
          <w:p>
            <w:pPr>
              <w:pStyle w:val="Compact"/>
              <w:jc w:val="left"/>
            </w:pPr>
            <m:oMath>
              <m:r>
                <m:rPr>
                  <m:sty m:val="p"/>
                </m:rPr>
                <m:t>exp</m:t>
              </m:r>
              <m:d>
                <m:dPr>
                  <m:begChr m:val="("/>
                  <m:endChr m:val=")"/>
                  <m:sepChr m:val=""/>
                  <m:grow/>
                </m:dPr>
                <m:e>
                  <m:r>
                    <m:t>y</m:t>
                  </m:r>
                </m:e>
              </m:d>
              <m:r>
                <m:rPr>
                  <m:sty m:val="p"/>
                </m:rPr>
                <m:t>=</m:t>
              </m:r>
              <m:sSup>
                <m:e>
                  <m:r>
                    <m:t>e</m:t>
                  </m:r>
                </m:e>
                <m:sup>
                  <m:r>
                    <m:t>y</m:t>
                  </m:r>
                </m:sup>
              </m:sSup>
            </m:oMath>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p>
        </w:tc>
        <w:tc>
          <w:tcPr/>
          <w:p>
            <w:pPr>
              <w:pStyle w:val="Compact"/>
              <w:jc w:val="left"/>
            </w:pPr>
            <m:oMath>
              <m:r>
                <m:rPr>
                  <m:nor/>
                  <m:sty m:val="p"/>
                </m:rPr>
                <m:t>erf</m:t>
              </m:r>
              <m:d>
                <m:dPr>
                  <m:begChr m:val="("/>
                  <m:endChr m:val=")"/>
                  <m:sepChr m:val=""/>
                  <m:grow/>
                </m:dPr>
                <m:e>
                  <m:r>
                    <m:t>x</m:t>
                  </m:r>
                </m:e>
              </m:d>
            </m:oMath>
            <w:r>
              <w:t xml:space="preserve"> </w:t>
            </w:r>
            <w:r>
              <w:t xml:space="preserve">is the error function of</w:t>
            </w:r>
            <w:r>
              <w:t xml:space="preserve"> </w:t>
            </w:r>
            <m:oMath>
              <m:r>
                <m:t>x</m:t>
              </m:r>
            </m:oMath>
          </w:p>
        </w:tc>
      </w:tr>
    </w:tbl>
    <w:p>
      <w:pPr>
        <w:pStyle w:val="BodyText"/>
      </w:pPr>
      <w:r>
        <w:rPr>
          <w:b/>
          <w:bCs/>
        </w:rPr>
        <w:t xml:space="preserve">Example:</w:t>
      </w:r>
      <w:r>
        <w:t xml:space="preserve"> </w:t>
      </w:r>
      <w:r>
        <w:t xml:space="preserve">The lengths of chocolate bars produced by Cantor’s Confectionery follow a normal distribution with a mean of</w:t>
      </w:r>
      <w:r>
        <w:t xml:space="preserve"> </w:t>
      </w:r>
      <m:oMath>
        <m:r>
          <m:t>5.6</m:t>
        </m:r>
      </m:oMath>
      <w:r>
        <w:t xml:space="preserve"> </w:t>
      </w:r>
      <w:r>
        <w:t xml:space="preserve">inches and a variance of</w:t>
      </w:r>
      <w:r>
        <w:t xml:space="preserve"> </w:t>
      </w:r>
      <m:oMath>
        <m:r>
          <m:t>1.44</m:t>
        </m:r>
      </m:oMath>
      <w:r>
        <w:t xml:space="preserve">. This can be expressed as</w:t>
      </w:r>
      <w:r>
        <w:t xml:space="preserve"> </w:t>
      </w:r>
      <m:oMath>
        <m:r>
          <m:t>X</m:t>
        </m:r>
        <m:r>
          <m:rPr>
            <m:sty m:val="p"/>
          </m:rPr>
          <m:t>∼</m:t>
        </m:r>
        <m:r>
          <m:t>N</m:t>
        </m:r>
        <m:d>
          <m:dPr>
            <m:begChr m:val="("/>
            <m:endChr m:val=")"/>
            <m:sepChr m:val=""/>
            <m:grow/>
          </m:dPr>
          <m:e>
            <m:r>
              <m:t>5.6</m:t>
            </m:r>
            <m:r>
              <m:rPr>
                <m:sty m:val="p"/>
              </m:rPr>
              <m:t>,</m:t>
            </m:r>
            <m:r>
              <m:t>1.44</m:t>
            </m:r>
          </m:e>
        </m:d>
      </m:oMath>
      <w:r>
        <w:t xml:space="preserve">, meaning the data is normally distributed, centered at</w:t>
      </w:r>
      <w:r>
        <w:t xml:space="preserve"> </w:t>
      </w:r>
      <m:oMath>
        <m:r>
          <m:t>5.6</m:t>
        </m:r>
      </m:oMath>
      <w:r>
        <w:t xml:space="preserve"> </w:t>
      </w:r>
      <w:r>
        <w:t xml:space="preserve">with standard deviation</w:t>
      </w:r>
      <w:r>
        <w:t xml:space="preserve"> </w:t>
      </w:r>
      <m:oMath>
        <m:rad>
          <m:radPr>
            <m:degHide m:val="on"/>
          </m:radPr>
          <m:deg/>
          <m:e>
            <m:r>
              <m:t>1.44</m:t>
            </m:r>
          </m:e>
        </m:rad>
        <m:r>
          <m:rPr>
            <m:sty m:val="p"/>
          </m:rPr>
          <m:t>=</m:t>
        </m:r>
        <m:r>
          <m:t>1.2</m:t>
        </m:r>
      </m:oMath>
      <w:r>
        <w:t xml:space="preserve">.</w:t>
      </w:r>
    </w:p>
    <w:bookmarkStart w:id="27"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Guide: PMFs, PDFs, CDFs</w:t>
        </w:r>
      </w:hyperlink>
      <w:r>
        <w:t xml:space="preserve"> </w:t>
      </w:r>
      <w:r>
        <w:t xml:space="preserve">and</w:t>
      </w:r>
      <w:r>
        <w:t xml:space="preserve"> </w:t>
      </w:r>
      <w:hyperlink r:id="rId24">
        <w:r>
          <w:rPr>
            <w:rStyle w:val="Hyperlink"/>
          </w:rPr>
          <w:t xml:space="preserve">Overview: Probability distributions.</w:t>
        </w:r>
      </w:hyperlink>
      <w:r>
        <w:t xml:space="preserve"> </w:t>
      </w:r>
      <w:r>
        <w:t xml:space="preserve">Please click the relevant links to go to the guides.</w:t>
      </w:r>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Normal distribution</dc:title>
  <dc:creator>Michelle Arnetta and Tom Coleman</dc:creator>
  <cp:keywords/>
  <dcterms:created xsi:type="dcterms:W3CDTF">2025-08-28T15:18:52Z</dcterms:created>
  <dcterms:modified xsi:type="dcterms:W3CDTF">2025-08-28T15:18:52Z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normal distribution N(\mu,\sigma^2).</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