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t</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t</m:t>
        </m:r>
      </m:oMath>
      <w:r>
        <w:t xml:space="preserve">-distribution.</w:t>
      </w:r>
    </w:p>
    <w:p>
      <w:pPr>
        <w:pStyle w:val="CaptionedFigure"/>
      </w:pPr>
      <w:r>
        <w:drawing>
          <wp:inline>
            <wp:extent cx="4754880" cy="4141032"/>
            <wp:effectExtent b="0" l="0" r="0" t="0"/>
            <wp:docPr descr="An example of the t-distribution with \nu = \textsf{df} = 2 and \mu = 0." title="" id="21" name="Picture"/>
            <a:graphic>
              <a:graphicData uri="http://schemas.openxmlformats.org/drawingml/2006/picture">
                <pic:pic>
                  <pic:nvPicPr>
                    <pic:cNvPr descr="./FiguresPNG/f-tdist.png" id="22" name="Picture"/>
                    <pic:cNvPicPr>
                      <a:picLocks noChangeArrowheads="1" noChangeAspect="1"/>
                    </pic:cNvPicPr>
                  </pic:nvPicPr>
                  <pic:blipFill>
                    <a:blip r:embed="rId20"/>
                    <a:stretch>
                      <a:fillRect/>
                    </a:stretch>
                  </pic:blipFill>
                  <pic:spPr bwMode="auto">
                    <a:xfrm>
                      <a:off x="0" y="0"/>
                      <a:ext cx="4754880" cy="4141032"/>
                    </a:xfrm>
                    <a:prstGeom prst="rect">
                      <a:avLst/>
                    </a:prstGeom>
                    <a:noFill/>
                    <a:ln w="9525">
                      <a:noFill/>
                      <a:headEnd/>
                      <a:tailEnd/>
                    </a:ln>
                  </pic:spPr>
                </pic:pic>
              </a:graphicData>
            </a:graphic>
          </wp:inline>
        </w:drawing>
      </w:r>
    </w:p>
    <w:p>
      <w:pPr>
        <w:pStyle w:val="ImageCaption"/>
      </w:pPr>
      <w:r>
        <w:t xml:space="preserve">An example of the</w:t>
      </w:r>
      <w:r>
        <w:t xml:space="preserve"> </w:t>
      </w:r>
      <m:oMath>
        <m:r>
          <m:t>t</m:t>
        </m:r>
      </m:oMath>
      <w:r>
        <w:t xml:space="preserve">-distribution with</w:t>
      </w:r>
      <w:r>
        <w:t xml:space="preserve"> </w:t>
      </w:r>
      <m:oMath>
        <m:r>
          <m:t>ν</m:t>
        </m:r>
        <m:r>
          <m:rPr>
            <m:sty m:val="p"/>
          </m:rPr>
          <m:t>=</m:t>
        </m:r>
        <m:r>
          <m:rPr>
            <m:nor/>
            <m:sty m:val="p"/>
            <m:scr m:val="sans-serif"/>
          </m:rPr>
          <m:t>df</m:t>
        </m:r>
        <m:r>
          <m:rPr>
            <m:sty m:val="p"/>
          </m:rPr>
          <m:t>=</m:t>
        </m:r>
        <m:r>
          <m:t>2</m:t>
        </m:r>
      </m:oMath>
      <w:r>
        <w:t xml:space="preserve"> </w:t>
      </w:r>
      <w:r>
        <w:t xml:space="preserve">and</w:t>
      </w:r>
      <w:r>
        <w:t xml:space="preserve"> </w:t>
      </w:r>
      <m:oMath>
        <m:r>
          <m:t>μ</m:t>
        </m:r>
        <m:r>
          <m:rPr>
            <m:sty m:val="p"/>
          </m:rPr>
          <m:t>=</m:t>
        </m:r>
        <m:r>
          <m:t>0</m:t>
        </m:r>
      </m:oMath>
      <w:r>
        <w:t xml:space="preserve">.</w:t>
      </w:r>
    </w:p>
    <w:p>
      <w:pPr>
        <w:pStyle w:val="BodyText"/>
      </w:pPr>
      <w:r>
        <w:rPr>
          <w:b/>
          <w:bCs/>
        </w:rPr>
        <w:t xml:space="preserve">Where to use:</w:t>
      </w:r>
      <w:r>
        <w:t xml:space="preserve"> </w:t>
      </w:r>
      <w:r>
        <w:t xml:space="preserve">The</w:t>
      </w:r>
      <w:r>
        <w:t xml:space="preserve"> </w:t>
      </w:r>
      <m:oMath>
        <m:r>
          <m:t>t</m:t>
        </m:r>
      </m:oMath>
      <w:r>
        <w:t xml:space="preserve">-distribution is a special case of the</w:t>
      </w:r>
      <w:r>
        <w:t xml:space="preserve"> </w:t>
      </w:r>
      <m:oMath>
        <m:r>
          <m:t>F</m:t>
        </m:r>
      </m:oMath>
      <w:r>
        <w:t xml:space="preserve">-distribution, as</w:t>
      </w:r>
      <w:r>
        <w:t xml:space="preserve"> </w:t>
      </w:r>
      <m:oMath>
        <m:sSup>
          <m:e>
            <m:d>
              <m:dPr>
                <m:begChr m:val="("/>
                <m:endChr m:val=")"/>
                <m:sepChr m:val=""/>
                <m:grow/>
              </m:dPr>
              <m:e>
                <m:r>
                  <m:t>t</m:t>
                </m:r>
                <m:d>
                  <m:dPr>
                    <m:begChr m:val="("/>
                    <m:endChr m:val=")"/>
                    <m:sepChr m:val=""/>
                    <m:grow/>
                  </m:dPr>
                  <m:e>
                    <m:r>
                      <m:t>ν</m:t>
                    </m:r>
                  </m:e>
                </m:d>
              </m:e>
            </m:d>
          </m:e>
          <m:sup>
            <m:r>
              <m:t>2</m:t>
            </m:r>
          </m:sup>
        </m:sSup>
        <m:r>
          <m:rPr>
            <m:sty m:val="p"/>
          </m:rPr>
          <m:t>=</m:t>
        </m:r>
        <m:r>
          <m:t>F</m:t>
        </m:r>
        <m:d>
          <m:dPr>
            <m:begChr m:val="("/>
            <m:endChr m:val=")"/>
            <m:sepChr m:val=""/>
            <m:grow/>
          </m:dPr>
          <m:e>
            <m:r>
              <m:t>1</m:t>
            </m:r>
            <m:r>
              <m:rPr>
                <m:sty m:val="p"/>
              </m:rPr>
              <m:t>,</m:t>
            </m:r>
            <m:r>
              <m:t>ν</m:t>
            </m:r>
          </m:e>
        </m:d>
      </m:oMath>
      <w:r>
        <w:t xml:space="preserve">. This distribution is used for continuous random variables with heavier tails than the normal distribution, and it is often employed in hypothesis testing where the population standard deviation is unknown. (See</w:t>
      </w:r>
      <w:r>
        <w:t xml:space="preserve"> </w:t>
      </w:r>
      <w:hyperlink r:id="rId23">
        <w:r>
          <w:rPr>
            <w:rStyle w:val="Hyperlink"/>
          </w:rPr>
          <w:t xml:space="preserve">Guide: Introduction to hypothesis testing</w:t>
        </w:r>
      </w:hyperlink>
      <w:r>
        <w:t xml:space="preserve"> </w:t>
      </w:r>
      <w:r>
        <w:t xml:space="preserve">for more.)</w:t>
      </w:r>
    </w:p>
    <w:p>
      <w:pPr>
        <w:pStyle w:val="BodyText"/>
      </w:pPr>
      <w:r>
        <w:rPr>
          <w:b/>
          <w:bCs/>
        </w:rPr>
        <w:t xml:space="preserve">Notation:</w:t>
      </w:r>
      <w:r>
        <w:t xml:space="preserve"> </w:t>
      </w:r>
      <m:oMath>
        <m:r>
          <m:t>X</m:t>
        </m:r>
        <m:r>
          <m:rPr>
            <m:sty m:val="p"/>
          </m:rPr>
          <m:t>∼</m:t>
        </m:r>
        <m:r>
          <m:t>t</m:t>
        </m:r>
        <m:d>
          <m:dPr>
            <m:begChr m:val="("/>
            <m:endChr m:val=")"/>
            <m:sepChr m:val=""/>
            <m:grow/>
          </m:dPr>
          <m:e>
            <m:r>
              <m:t>ν</m:t>
            </m:r>
          </m:e>
        </m:d>
      </m:oMath>
    </w:p>
    <w:p>
      <w:pPr>
        <w:pStyle w:val="BodyText"/>
      </w:pPr>
      <w:r>
        <w:rPr>
          <w:b/>
          <w:bCs/>
        </w:rPr>
        <w:t xml:space="preserve">Parameter:</w:t>
      </w:r>
      <w:r>
        <w:t xml:space="preserve"> </w:t>
      </w:r>
      <w:r>
        <w:t xml:space="preserve">The integer</w:t>
      </w:r>
      <w:r>
        <w:t xml:space="preserve"> </w:t>
      </w:r>
      <m:oMath>
        <m:r>
          <m:t>ν</m:t>
        </m:r>
      </m:oMath>
      <w:r>
        <w:t xml:space="preserve"> </w:t>
      </w:r>
      <w:r>
        <w:t xml:space="preserve">representing the degrees of freedom.</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0</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ν</m:t>
                  </m:r>
                </m:num>
                <m:den>
                  <m:r>
                    <m:t>ν</m:t>
                  </m:r>
                  <m:r>
                    <m:rPr>
                      <m:sty m:val="p"/>
                    </m:rPr>
                    <m:t>−</m:t>
                  </m:r>
                  <m:r>
                    <m:t>2</m:t>
                  </m:r>
                </m:den>
              </m:f>
            </m:oMath>
          </w:p>
        </w:tc>
        <w:tc>
          <w:tcPr/>
          <w:p>
            <w:pPr>
              <w:pStyle w:val="Compact"/>
              <w:jc w:val="left"/>
            </w:pPr>
            <m:oMath>
              <m:r>
                <m:t>ν</m:t>
              </m:r>
              <m:r>
                <m:rPr>
                  <m:sty m:val="p"/>
                </m:rPr>
                <m:t>&gt;</m:t>
              </m:r>
              <m:r>
                <m:t>2</m:t>
              </m:r>
            </m:oMath>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ν</m:t>
                          </m:r>
                          <m:r>
                            <m:rPr>
                              <m:sty m:val="p"/>
                            </m:rPr>
                            <m:t>+</m:t>
                          </m:r>
                          <m:r>
                            <m:t>1</m:t>
                          </m:r>
                        </m:num>
                        <m:den>
                          <m:r>
                            <m:t>2</m:t>
                          </m:r>
                        </m:den>
                      </m:f>
                    </m:e>
                  </m:d>
                </m:num>
                <m:den>
                  <m:r>
                    <m:t>Γ</m:t>
                  </m:r>
                  <m:d>
                    <m:dPr>
                      <m:begChr m:val="("/>
                      <m:endChr m:val=")"/>
                      <m:sepChr m:val=""/>
                      <m:grow/>
                    </m:dPr>
                    <m:e>
                      <m:f>
                        <m:fPr>
                          <m:type m:val="bar"/>
                        </m:fPr>
                        <m:num>
                          <m:r>
                            <m:t>ν</m:t>
                          </m:r>
                        </m:num>
                        <m:den>
                          <m:r>
                            <m:t>2</m:t>
                          </m:r>
                        </m:den>
                      </m:f>
                    </m:e>
                  </m:d>
                  <m:rad>
                    <m:radPr>
                      <m:degHide m:val="on"/>
                    </m:radPr>
                    <m:deg/>
                    <m:e>
                      <m:r>
                        <m:t>π</m:t>
                      </m:r>
                      <m:r>
                        <m:t>ν</m:t>
                      </m:r>
                    </m:e>
                  </m:rad>
                </m:den>
              </m:f>
              <m:sSup>
                <m:e>
                  <m:d>
                    <m:dPr>
                      <m:begChr m:val="("/>
                      <m:endChr m:val=")"/>
                      <m:sepChr m:val=""/>
                      <m:grow/>
                    </m:dPr>
                    <m:e>
                      <m:r>
                        <m:t>1</m:t>
                      </m:r>
                      <m:r>
                        <m:rPr>
                          <m:sty m:val="p"/>
                        </m:rPr>
                        <m:t>+</m:t>
                      </m:r>
                      <m:f>
                        <m:fPr>
                          <m:type m:val="bar"/>
                        </m:fPr>
                        <m:num>
                          <m:sSup>
                            <m:e>
                              <m:r>
                                <m:t>x</m:t>
                              </m:r>
                            </m:e>
                            <m:sup>
                              <m:r>
                                <m:t>2</m:t>
                              </m:r>
                            </m:sup>
                          </m:sSup>
                        </m:num>
                        <m:den>
                          <m:r>
                            <m:t>ν</m:t>
                          </m:r>
                        </m:den>
                      </m:f>
                    </m:e>
                  </m:d>
                </m:e>
                <m:sup>
                  <m:r>
                    <m:rPr>
                      <m:sty m:val="p"/>
                    </m:rPr>
                    <m:t>−</m:t>
                  </m:r>
                  <m:f>
                    <m:fPr>
                      <m:type m:val="bar"/>
                    </m:fPr>
                    <m:num>
                      <m:r>
                        <m:t>ν</m:t>
                      </m:r>
                      <m:r>
                        <m:rPr>
                          <m:sty m:val="p"/>
                        </m:rPr>
                        <m:t>+</m:t>
                      </m:r>
                      <m:r>
                        <m:t>1</m:t>
                      </m:r>
                    </m:num>
                    <m:den>
                      <m:r>
                        <m:t>2</m:t>
                      </m:r>
                    </m:den>
                  </m:f>
                </m:sup>
              </m:sSup>
            </m:oMath>
          </w:p>
        </w:tc>
        <w:tc>
          <w:tcPr/>
          <w:p>
            <w:pPr>
              <w:pStyle w:val="Compact"/>
              <w:jc w:val="left"/>
            </w:pPr>
            <m:oMath>
              <m:r>
                <m:t>Γ</m:t>
              </m:r>
              <m:d>
                <m:dPr>
                  <m:begChr m:val="("/>
                  <m:endChr m:val=")"/>
                  <m:sepChr m:val=""/>
                  <m:grow/>
                </m:dPr>
                <m:e>
                  <m:r>
                    <m:t>x</m:t>
                  </m:r>
                </m:e>
              </m:d>
            </m:oMath>
            <w:r>
              <w:t xml:space="preserve"> </w:t>
            </w:r>
            <w:r>
              <w:t xml:space="preserve">is the gamma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ν</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ν</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ν</m:t>
                              </m:r>
                            </m:den>
                          </m:f>
                        </m:e>
                      </m:d>
                    </m:num>
                    <m:den>
                      <m:r>
                        <m:t>Γ</m:t>
                      </m:r>
                      <m:d>
                        <m:dPr>
                          <m:begChr m:val="("/>
                          <m:endChr m:val=")"/>
                          <m:sepChr m:val=""/>
                          <m:grow/>
                        </m:dPr>
                        <m:e>
                          <m:f>
                            <m:fPr>
                              <m:type m:val="bar"/>
                            </m:fPr>
                            <m:num>
                              <m:r>
                                <m:t>ν</m:t>
                              </m:r>
                            </m:num>
                            <m:den>
                              <m:r>
                                <m:t>2</m:t>
                              </m:r>
                            </m:den>
                          </m:f>
                        </m:e>
                      </m:d>
                      <m:rad>
                        <m:radPr>
                          <m:degHide m:val="on"/>
                        </m:radPr>
                        <m:deg/>
                        <m:e>
                          <m:r>
                            <m:t>π</m:t>
                          </m:r>
                          <m:r>
                            <m:t>ν</m:t>
                          </m:r>
                        </m:e>
                      </m:rad>
                    </m:den>
                  </m:f>
                </m:e>
              </m:d>
            </m:oMath>
          </w:p>
        </w:tc>
        <w:tc>
          <w:tcPr/>
          <w:p>
            <w:pPr>
              <w:pStyle w:val="Compact"/>
              <w:jc w:val="left"/>
            </w:pPr>
            <m:oMath>
              <m:r>
                <m:t>Γ</m:t>
              </m:r>
              <m:d>
                <m:dPr>
                  <m:begChr m:val="("/>
                  <m:endChr m:val=")"/>
                  <m:sepChr m:val=""/>
                  <m:grow/>
                </m:dPr>
                <m:e>
                  <m:r>
                    <m:t>x</m:t>
                  </m:r>
                </m:e>
              </m:d>
            </m:oMath>
            <w:r>
              <w:t xml:space="preserve"> </w:t>
            </w:r>
            <w:r>
              <w:t xml:space="preserve">is the gamma function,</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w:t>
            </w:r>
          </w:p>
        </w:tc>
      </w:tr>
    </w:tbl>
    <w:p>
      <w:pPr>
        <w:pStyle w:val="BodyText"/>
      </w:pPr>
      <w:r>
        <w:rPr>
          <w:b/>
          <w:bCs/>
        </w:rPr>
        <w:t xml:space="preserve">Example:</w:t>
      </w:r>
      <w:r>
        <w:t xml:space="preserve"> </w:t>
      </w:r>
      <w:r>
        <w:t xml:space="preserve">You have a sample of 40 measurements of Cantor’s Confectionery chocolate bar lengths. From this, you would like to conduct a one sample</w:t>
      </w:r>
      <w:r>
        <w:t xml:space="preserve"> </w:t>
      </w:r>
      <m:oMath>
        <m:r>
          <m:t>t</m:t>
        </m:r>
      </m:oMath>
      <w:r>
        <w:t xml:space="preserve">-test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w:t>
      </w:r>
      <w:r>
        <w:t xml:space="preserve"> </w:t>
      </w:r>
      <m:oMath>
        <m:r>
          <m:t>t</m:t>
        </m:r>
      </m:oMath>
      <w:r>
        <w:t xml:space="preserve">-test, can be expressed as</w:t>
      </w:r>
      <w:r>
        <w:t xml:space="preserve"> </w:t>
      </w:r>
      <m:oMath>
        <m:r>
          <m:t>X</m:t>
        </m:r>
        <m:r>
          <m:rPr>
            <m:sty m:val="p"/>
          </m:rPr>
          <m:t>∼</m:t>
        </m:r>
        <m:r>
          <m:t>t</m:t>
        </m:r>
        <m:d>
          <m:dPr>
            <m:begChr m:val="("/>
            <m:endChr m:val=")"/>
            <m:sepChr m:val=""/>
            <m:grow/>
          </m:dPr>
          <m:e>
            <m:r>
              <m:t>39</m:t>
            </m:r>
          </m:e>
        </m:d>
      </m:oMath>
      <w:r>
        <w:t xml:space="preserve">, meaning the degrees of freedom is 39. See</w:t>
      </w:r>
      <w:r>
        <w:t xml:space="preserve"> </w:t>
      </w:r>
      <w:hyperlink r:id="rId23">
        <w:r>
          <w:rPr>
            <w:rStyle w:val="Hyperlink"/>
          </w:rPr>
          <w:t xml:space="preserve">Guide: Introduction to hypothesis testing</w:t>
        </w:r>
      </w:hyperlink>
      <w:r>
        <w:t xml:space="preserve"> </w:t>
      </w:r>
      <w:r>
        <w:t xml:space="preserve">for more.</w:t>
      </w:r>
    </w:p>
    <w:bookmarkStart w:id="27" w:name="further-reading"/>
    <w:p>
      <w:pPr>
        <w:pStyle w:val="Heading1"/>
      </w:pPr>
      <w:r>
        <w:t xml:space="preserve">Further reading</w:t>
      </w:r>
    </w:p>
    <w:p>
      <w:pPr>
        <w:pStyle w:val="FirstParagraph"/>
      </w:pPr>
      <w:hyperlink r:id="rId24">
        <w:r>
          <w:rPr>
            <w:rStyle w:val="Hyperlink"/>
          </w:rPr>
          <w:t xml:space="preserve">This interactive element appears in Overview: Probability distributions. Please click this link to go to the guide.</w:t>
        </w:r>
      </w:hyperlink>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t-distribution</dc:title>
  <dc:creator>Michelle Arnetta and Tom Coleman</dc:creator>
  <cp:keywords/>
  <dcterms:created xsi:type="dcterms:W3CDTF">2025-08-29T12:18:55Z</dcterms:created>
  <dcterms:modified xsi:type="dcterms:W3CDTF">2025-08-29T12:18:55Z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t-distribution.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