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0"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w:t>
      </w:r>
    </w:p>
    <w:bookmarkStart w:id="20" w:name="representations"/>
    <w:p>
      <w:pPr>
        <w:pStyle w:val="Heading2"/>
      </w:pPr>
      <w:r>
        <w:t xml:space="preserve">Representations</w:t>
      </w:r>
    </w:p>
    <w:p>
      <w:pPr>
        <w:pStyle w:val="FirstParagraph"/>
      </w:pPr>
      <w:r>
        <w:t xml:space="preserve">Numbers have a place even in very early history. Bones and other artifacts carved with lines that many believed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0"/>
    <w:bookmarkStart w:id="24"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4"/>
    <w:bookmarkStart w:id="29"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where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r>
          <m:t>60</m:t>
        </m:r>
        <m:r>
          <m:rPr>
            <m:sty m:val="p"/>
          </m:rPr>
          <m:t>,</m:t>
        </m:r>
      </m:oMath>
      <w:r>
        <w:t xml:space="preserve"> </w:t>
      </w:r>
      <w:r>
        <w:t xml:space="preserve">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four-twentys.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29"/>
    <w:bookmarkEnd w:id="30"/>
    <w:bookmarkStart w:id="46" w:name="catagories-of-numbers"/>
    <w:p>
      <w:pPr>
        <w:pStyle w:val="Heading1"/>
      </w:pPr>
      <w:r>
        <w:t xml:space="preserve">Catagories of numbers</w:t>
      </w:r>
    </w:p>
    <w:bookmarkStart w:id="35"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5"/>
    <w:bookmarkStart w:id="38"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where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bookmarkEnd w:id="38"/>
    <w:bookmarkStart w:id="45" w:name="algebraic-and-transendental-numbers"/>
    <w:p>
      <w:pPr>
        <w:pStyle w:val="Heading2"/>
      </w:pPr>
      <w:r>
        <w:t xml:space="preserve">Algebraic and transendental numbers</w:t>
      </w:r>
    </w:p>
    <w:p>
      <w:pPr>
        <w:pStyle w:val="FirstParagraph"/>
      </w:pPr>
      <w:r>
        <w:t xml:space="preserve">Algebraic vs transcendental is another important way of distinguishing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 coefficients.</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It’s difficult</w:t>
      </w:r>
      <w:r>
        <w:t xml:space="preserve"> </w:t>
      </w:r>
      <w:r>
        <w:rPr>
          <w:b/>
          <w:bCs/>
        </w:rPr>
        <w:t xml:space="preserve">AM I ALLOWED TO SAY DIFFICULT HERE?</w:t>
      </w:r>
      <w:r>
        <w:t xml:space="preserve"> </w:t>
      </w:r>
      <w:r>
        <w:t xml:space="preserve">to prove that a number is transcendental. It was first assumed that all numbers where algebraic, but in 1844 Joseph Liouville proved that his number, the Liouville constant</w:t>
      </w:r>
      <w:r>
        <w:t xml:space="preserve"> </w:t>
      </w:r>
      <m:oMath>
        <m:r>
          <m:rPr>
            <m:sty m:val="p"/>
          </m:rPr>
          <m:t>=</m:t>
        </m:r>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 there are actually more transcendental number than algebraic numbers.</w:t>
      </w:r>
    </w:p>
    <w:bookmarkEnd w:id="45"/>
    <w:bookmarkEnd w:id="46"/>
    <w:bookmarkStart w:id="47"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w:t>
      </w:r>
    </w:p>
    <w:bookmarkEnd w:id="47"/>
    <w:bookmarkStart w:id="49" w:name="further-reading"/>
    <w:p>
      <w:pPr>
        <w:pStyle w:val="Heading1"/>
      </w:pPr>
      <w:r>
        <w:t xml:space="preserve">Further reading</w:t>
      </w:r>
    </w:p>
    <w:p>
      <w:pPr>
        <w:pStyle w:val="FirstParagraph"/>
      </w:pPr>
      <w:r>
        <w:t xml:space="preserve">For more reading on types of number, please go to</w:t>
      </w:r>
      <w:r>
        <w:t xml:space="preserve"> </w:t>
      </w:r>
      <w:r>
        <w:rPr>
          <w:b/>
          <w:bCs/>
        </w:rPr>
        <w:t xml:space="preserve">Overview: Number sets.</w:t>
      </w:r>
    </w:p>
    <w:bookmarkStart w:id="48" w:name="version-history"/>
    <w:p>
      <w:pPr>
        <w:pStyle w:val="Heading2"/>
      </w:pPr>
      <w:r>
        <w:t xml:space="preserve">Version history</w:t>
      </w:r>
    </w:p>
    <w:p>
      <w:pPr>
        <w:pStyle w:val="FirstParagraph"/>
      </w:pPr>
      <w:r>
        <w:t xml:space="preserve">v1.0: initial version created 04/25 by ect6 (as part of a University of St Andrews VIP project)</w:t>
      </w:r>
    </w:p>
    <w:bookmarkEnd w:id="48"/>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2025-04-15T13:21:48Z</dcterms:created>
  <dcterms:modified xsi:type="dcterms:W3CDTF">2025-04-15T13:21:48Z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