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Proof: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</w:t>
      </w:r>
      <w:r>
        <w:t xml:space="preserve"> </w:t>
      </w:r>
      <w:r>
        <w:t xml:space="preserve">explanation</w:t>
      </w:r>
      <w:r>
        <w:t xml:space="preserve"> </w:t>
      </w:r>
      <w:r>
        <w:t xml:space="preserve">as</w:t>
      </w:r>
      <w:r>
        <w:t xml:space="preserve"> </w:t>
      </w:r>
      <w:r>
        <w:t xml:space="preserve">to</w:t>
      </w:r>
      <w:r>
        <w:t xml:space="preserve"> </w:t>
      </w:r>
      <w:r>
        <w:t xml:space="preserve">why</w:t>
      </w:r>
      <w:r>
        <w:t xml:space="preserve"> </w:t>
      </w:r>
      <w:r>
        <w:t xml:space="preserve">some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properties</w:t>
      </w:r>
      <w:r>
        <w:t xml:space="preserve"> </w:t>
      </w:r>
      <w:r>
        <w:t xml:space="preserve">of</w:t>
      </w:r>
      <w:r>
        <w:t xml:space="preserve"> </w:t>
      </w:r>
      <w:r>
        <w:t xml:space="preserve">sigma</w:t>
      </w:r>
      <w:r>
        <w:t xml:space="preserve"> </w:t>
      </w:r>
      <w:r>
        <w:t xml:space="preserve">notation</w:t>
      </w:r>
      <w:r>
        <w:t xml:space="preserve"> </w:t>
      </w:r>
      <w:r>
        <w:t xml:space="preserve">are</w:t>
      </w:r>
      <w:r>
        <w:t xml:space="preserve"> </w:t>
      </w:r>
      <w:r>
        <w:t xml:space="preserve">true.</w:t>
      </w:r>
    </w:p>
    <w:p>
      <w:pPr>
        <w:pStyle w:val="FirstParagraph"/>
      </w:pPr>
      <w:r>
        <w:rPr>
          <w:i/>
          <w:iCs/>
        </w:rPr>
        <w:t xml:space="preserve">Before reading this proof sheet,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Introduction to sigma notation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and [Guide: Proof by induction].</w:t>
      </w:r>
    </w:p>
    <w:bookmarkStart w:id="32" w:name="proof-of-properties-of-sigma-notation"/>
    <w:p>
      <w:pPr>
        <w:pStyle w:val="Heading1"/>
      </w:pPr>
      <w:r>
        <w:t xml:space="preserve">Proof of properties of sigma notation</w:t>
      </w:r>
    </w:p>
    <w:bookmarkStart w:id="26" w:name="distributivity"/>
    <w:p>
      <w:pPr>
        <w:pStyle w:val="Heading2"/>
      </w:pPr>
      <w:r>
        <w:t xml:space="preserve">Distributivity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distributivity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You can see this is true by writing the entire sum out, like this:</w:t>
            </w:r>
          </w:p>
          <w:p>
            <w:pPr>
              <w:pStyle w:val="BodyText"/>
            </w:pPr>
            <w:pPr>
              <w:spacing w:after="16"/>
            </w:pP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r>
                            <m:t>C</m:t>
                          </m:r>
                        </m:e>
                      </m:nary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2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r>
                        <m:t>C</m:t>
                      </m:r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n</m:t>
                          </m:r>
                        </m:sub>
                      </m:sSub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2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r>
                        <m:t>C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nary>
                    </m:e>
                  </m:mr>
                </m:m>
              </m:oMath>
            </m:oMathPara>
          </w:p>
        </w:tc>
      </w:tr>
    </w:tbl>
    <w:bookmarkEnd w:id="26"/>
    <w:bookmarkStart w:id="31" w:name="combining-and-decomposing-sums"/>
    <w:p>
      <w:pPr>
        <w:pStyle w:val="Heading2"/>
      </w:pPr>
      <w:r>
        <w:t xml:space="preserve">Combining and decomposing sums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Hello</w:t>
            </w:r>
          </w:p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Proof of combining and decomposing sums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t xml:space="preserve">Similar to the distributive property, you can show this is true by writing the entire sum out:</w:t>
            </w:r>
          </w:p>
          <w:p>
            <w:pPr>
              <w:pStyle w:val="BodyText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  <m:mc>
                        <m:mcPr>
                          <m:mcJc m:val="center"/>
                          <m:count m:val="1"/>
                        </m:mcPr>
                      </m:mc>
                      <m:mc>
                        <m:mcPr>
                          <m:mcJc m:val="left"/>
                          <m:count m:val="1"/>
                        </m:mcPr>
                      </m:mc>
                    </m:mcs>
                  </m:mPr>
                  <m:mr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  <m:r>
                        <m:rPr>
                          <m:sty m:val="p"/>
                        </m:rPr>
                        <m:t>+</m:t>
                      </m:r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i</m:t>
                              </m:r>
                            </m:sub>
                          </m:sSub>
                        </m:e>
                      </m:nary>
                    </m:e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rPr>
                              <m:sty m:val="p"/>
                            </m:rPr>
                            <m:t>…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k</m:t>
                              </m:r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r>
                                <m:t>1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m:t>+</m:t>
                      </m:r>
                      <m:r>
                        <m:rPr>
                          <m:sty m:val="p"/>
                        </m:rPr>
                        <m:t>…</m:t>
                      </m:r>
                      <m:r>
                        <m:rPr>
                          <m:sty m:val="p"/>
                        </m:rPr>
                        <m:t>+</m:t>
                      </m:r>
                      <m:d>
                        <m:dPr>
                          <m:begChr m:val="("/>
                          <m:endChr m:val=")"/>
                          <m:sepChr m:val=""/>
                          <m:grow/>
                        </m:dPr>
                        <m:e>
                          <m:sSub>
                            <m:e>
                              <m:r>
                                <m:t>a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m:t>+</m:t>
                          </m:r>
                          <m:sSub>
                            <m:e>
                              <m:r>
                                <m:t>b</m:t>
                              </m:r>
                            </m:e>
                            <m:sub>
                              <m: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/>
                    <m:e>
                      <m:r>
                        <m:rPr>
                          <m:sty m:val="p"/>
                        </m:rPr>
                        <m:t>=</m:t>
                      </m:r>
                    </m:e>
                    <m:e>
                      <m:nary>
                        <m:naryPr>
                          <m:chr m:val="∑"/>
                          <m:limLoc m:val="undOvr"/>
                          <m:subHide m:val="off"/>
                          <m:supHide m:val="off"/>
                        </m:naryPr>
                        <m:sub>
                          <m:r>
                            <m:t>i</m:t>
                          </m:r>
                          <m:r>
                            <m:rPr>
                              <m:sty m:val="p"/>
                            </m:rPr>
                            <m:t>=</m:t>
                          </m:r>
                          <m:r>
                            <m:t>k</m:t>
                          </m:r>
                        </m:sub>
                        <m:sup>
                          <m:r>
                            <m:t>n</m:t>
                          </m:r>
                        </m:sup>
                        <m:e>
                          <m:d>
                            <m:dPr>
                              <m:begChr m:val="("/>
                              <m:endChr m:val=")"/>
                              <m:sepChr m:val=""/>
                              <m:grow/>
                            </m:dPr>
                            <m:e>
                              <m:sSub>
                                <m:e>
                                  <m:r>
                                    <m:t>a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m:t>+</m:t>
                              </m:r>
                              <m:sSub>
                                <m:e>
                                  <m:r>
                                    <m:t>b</m:t>
                                  </m:r>
                                </m:e>
                                <m:sub>
                                  <m:r>
                                    <m:t>k</m:t>
                                  </m:r>
                                </m:sub>
                              </m:sSub>
                            </m:e>
                          </m:d>
                        </m:e>
                      </m:nary>
                      <m:r>
                        <m:rPr>
                          <m:sty m:val="p"/>
                        </m:rPr>
                        <m:t>.</m:t>
                      </m:r>
                    </m:e>
                  </m:mr>
                </m:m>
              </m:oMath>
            </m:oMathPara>
          </w:p>
          <w:p>
            <w:pPr>
              <w:pStyle w:val="FirstParagraph"/>
            </w:pPr>
            <w:pPr>
              <w:spacing w:after="16"/>
            </w:pPr>
            <w:r>
              <w:t xml:space="preserve">In a similar way, you can show that</w:t>
            </w:r>
            <w:r>
              <w:t xml:space="preserve"> </w:t>
            </w:r>
            <m:oMath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−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sSub>
                    <m:e>
                      <m:r>
                        <m:t>b</m:t>
                      </m:r>
                    </m:e>
                    <m:sub>
                      <m: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m:t>=</m:t>
              </m:r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i</m:t>
                  </m:r>
                  <m:r>
                    <m:rPr>
                      <m:sty m:val="p"/>
                    </m:rPr>
                    <m:t>=</m:t>
                  </m:r>
                  <m:r>
                    <m:t>k</m:t>
                  </m:r>
                </m:sub>
                <m:sup>
                  <m:r>
                    <m:t>n</m:t>
                  </m:r>
                </m: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m:t>−</m:t>
                      </m:r>
                      <m:sSub>
                        <m:e>
                          <m:r>
                            <m:t>b</m:t>
                          </m:r>
                        </m:e>
                        <m:sub>
                          <m:r>
                            <m:t>i</m:t>
                          </m:r>
                        </m:sub>
                      </m:sSub>
                    </m:e>
                  </m:d>
                </m:e>
              </m:nary>
            </m:oMath>
            <w:r>
              <w:t xml:space="preserve"> </w:t>
            </w:r>
            <w:r>
              <w:t xml:space="preserve">is also true.</w:t>
            </w:r>
          </w:p>
        </w:tc>
      </w:tr>
    </w:tbl>
    <w:bookmarkEnd w:id="31"/>
    <w:bookmarkEnd w:id="32"/>
    <w:bookmarkStart w:id="36" w:name="further-reading"/>
    <w:p>
      <w:pPr>
        <w:pStyle w:val="Heading1"/>
      </w:pPr>
      <w:r>
        <w:t xml:space="preserve">Further reading</w:t>
      </w:r>
    </w:p>
    <w:p>
      <w:pPr>
        <w:pStyle w:val="FirstParagraph"/>
      </w:pPr>
      <w:hyperlink r:id="rId33">
        <w:r>
          <w:rPr>
            <w:rStyle w:val="Hyperlink"/>
          </w:rPr>
          <w:t xml:space="preserve">Guide: Using the quadratic formula</w:t>
        </w:r>
      </w:hyperlink>
    </w:p>
    <w:p>
      <w:pPr>
        <w:pStyle w:val="BodyText"/>
      </w:pPr>
      <w:hyperlink r:id="rId34">
        <w:r>
          <w:rPr>
            <w:rStyle w:val="Hyperlink"/>
          </w:rPr>
          <w:t xml:space="preserve">Questions: Using the quadratic formula</w:t>
        </w:r>
      </w:hyperlink>
    </w:p>
    <w:bookmarkStart w:id="35" w:name="version-history"/>
    <w:p>
      <w:pPr>
        <w:pStyle w:val="Heading2"/>
      </w:pPr>
      <w:r>
        <w:t xml:space="preserve">Version history</w:t>
      </w:r>
    </w:p>
    <w:p>
      <w:pPr>
        <w:pStyle w:val="FirstParagraph"/>
      </w:pPr>
      <w:r>
        <w:t xml:space="preserve">v1.0: created in 04/24 by tdhc.</w:t>
      </w:r>
    </w:p>
    <w:bookmarkEnd w:id="35"/>
    <w:bookmarkEnd w:id="3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../questions/qs-quadraticformula.qmd" TargetMode="External" /><Relationship Type="http://schemas.openxmlformats.org/officeDocument/2006/relationships/hyperlink" Id="rId33" Target="../studyguides/quadraticformula.qmd" TargetMode="External" /><Relationship Type="http://schemas.openxmlformats.org/officeDocument/2006/relationships/hyperlink" Id="rId20" Target="../studyguides/sigmanota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Proof: properties of sigma notation</dc:title>
  <dc:creator>Tom Coleman</dc:creator>
  <cp:keywords/>
  <dcterms:created xsi:type="dcterms:W3CDTF">2025-04-25T15:16:19Z</dcterms:created>
  <dcterms:modified xsi:type="dcterms:W3CDTF">2025-04-25T15:16:19Z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 explanation as to why some of the properties of sigma notation are true.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