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properties</w:t>
      </w:r>
      <w:r>
        <w:t xml:space="preserve"> </w:t>
      </w:r>
      <w:r>
        <w:t xml:space="preserve">of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</w:t>
      </w:r>
      <w:r>
        <w:t xml:space="preserve"> </w:t>
      </w:r>
      <w:r>
        <w:t xml:space="preserve">explanation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some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properties</w:t>
      </w:r>
      <w:r>
        <w:t xml:space="preserve"> </w:t>
      </w:r>
      <w:r>
        <w:t xml:space="preserve">of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  <w:r>
        <w:t xml:space="preserve"> </w:t>
      </w:r>
      <w:r>
        <w:t xml:space="preserve">are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sigma notation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and [Guide: Proof by induction].</w:t>
      </w:r>
    </w:p>
    <w:bookmarkStart w:id="32" w:name="proof-of-properties-of-sigma-notation"/>
    <w:p>
      <w:pPr>
        <w:pStyle w:val="Heading1"/>
      </w:pPr>
      <w:r>
        <w:t xml:space="preserve">Proof of properties of sigma notation</w:t>
      </w:r>
    </w:p>
    <w:bookmarkStart w:id="26" w:name="distributivity"/>
    <w:p>
      <w:pPr>
        <w:pStyle w:val="Heading2"/>
      </w:pPr>
      <w:r>
        <w:t xml:space="preserve">Distributivity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Distributivity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Hello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Proof of distributivity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You can see this is true by writing the entire sum out, like this: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r>
                            <m:t>C</m:t>
                          </m:r>
                        </m:e>
                      </m:nary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</m:e>
                      </m:nary>
                    </m:e>
                  </m:mr>
                </m:m>
              </m:oMath>
            </m:oMathPara>
          </w:p>
        </w:tc>
      </w:tr>
    </w:tbl>
    <w:bookmarkEnd w:id="26"/>
    <w:bookmarkStart w:id="31" w:name="combining-and-decomposing-sums"/>
    <w:p>
      <w:pPr>
        <w:pStyle w:val="Heading2"/>
      </w:pPr>
      <w:r>
        <w:t xml:space="preserve">Combining and decomposing sums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Combining and decomposing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Hello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Proof of combining and decomposing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Similar to the distributive property, you can show this is true by writing the entire sum out: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nary>
                      <m:r>
                        <m:rPr>
                          <m:sty m:val="p"/>
                        </m:rPr>
                        <m:t>+</m:t>
                      </m:r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nary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sSub>
                                <m:e>
                                  <m:r>
                                    <m:t>a</m:t>
                                  </m:r>
                                </m:e>
                                <m:sub>
                                  <m:r>
                                    <m:t>k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sSub>
                                <m:e>
                                  <m:r>
                                    <m:t>b</m:t>
                                  </m:r>
                                </m:e>
                                <m:sub>
                                  <m: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m:t>.</m:t>
                      </m:r>
                    </m:e>
                  </m:mr>
                </m:m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In a similar way, you can show that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−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b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=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</m:nary>
            </m:oMath>
            <w:r>
              <w:t xml:space="preserve"> </w:t>
            </w:r>
            <w:r>
              <w:t xml:space="preserve">is also true.</w:t>
            </w:r>
          </w:p>
        </w:tc>
      </w:tr>
    </w:tbl>
    <w:bookmarkEnd w:id="31"/>
    <w:bookmarkEnd w:id="32"/>
    <w:bookmarkStart w:id="36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33">
        <w:r>
          <w:rPr>
            <w:rStyle w:val="Hyperlink"/>
          </w:rPr>
          <w:t xml:space="preserve">Guide: Using the quadratic formula</w:t>
        </w:r>
      </w:hyperlink>
    </w:p>
    <w:p>
      <w:pPr>
        <w:pStyle w:val="BodyText"/>
      </w:pPr>
      <w:hyperlink r:id="rId34">
        <w:r>
          <w:rPr>
            <w:rStyle w:val="Hyperlink"/>
          </w:rPr>
          <w:t xml:space="preserve">Questions: Using the quadratic formula</w:t>
        </w:r>
      </w:hyperlink>
    </w:p>
    <w:bookmarkStart w:id="35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04/24 by tdhc.</w:t>
      </w:r>
    </w:p>
    <w:bookmarkEnd w:id="35"/>
    <w:bookmarkEnd w:id="3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34" Target="../questions/qs-quadraticformula.qmd" TargetMode="External" /><Relationship Type="http://schemas.openxmlformats.org/officeDocument/2006/relationships/hyperlink" Id="rId33" Target="../studyguides/quadraticformula.qmd" TargetMode="External" /><Relationship Type="http://schemas.openxmlformats.org/officeDocument/2006/relationships/hyperlink" Id="rId20" Target="../studyguides/sigmanota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../questions/qs-quadraticformula.qmd" TargetMode="External" /><Relationship Type="http://schemas.openxmlformats.org/officeDocument/2006/relationships/hyperlink" Id="rId33" Target="../studyguides/quadraticformula.qmd" TargetMode="External" /><Relationship Type="http://schemas.openxmlformats.org/officeDocument/2006/relationships/hyperlink" Id="rId20" Target="../studyguides/sigmanota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properties of sigma notation</dc:title>
  <dc:creator>Tom Coleman</dc:creator>
  <cp:keywords/>
  <dcterms:created xsi:type="dcterms:W3CDTF">2025-03-12T12:57:49Z</dcterms:created>
  <dcterms:modified xsi:type="dcterms:W3CDTF">2025-03-12T12:57:49Z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 explanation as to why some of the properties of sigma notation are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