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Proof:</w:t>
      </w:r>
      <w:r>
        <w:t xml:space="preserve"> </w:t>
      </w:r>
      <w:r>
        <w:t xml:space="preserve">Trigonometric</w:t>
      </w:r>
      <w:r>
        <w:t xml:space="preserve"> </w:t>
      </w:r>
      <w:r>
        <w:t xml:space="preserve">identities</w:t>
      </w:r>
    </w:p>
    <w:p>
      <w:pPr>
        <w:pStyle w:val="Author"/>
      </w:pPr>
      <w:r>
        <w:t xml:space="preserve">Shanelle</w:t>
      </w:r>
      <w:r>
        <w:t xml:space="preserve"> </w:t>
      </w:r>
      <w:r>
        <w:t xml:space="preserve">Advani,</w:t>
      </w:r>
      <w:r>
        <w:t xml:space="preserve"> </w:t>
      </w:r>
      <w:r>
        <w:t xml:space="preserve">Krish</w:t>
      </w:r>
      <w:r>
        <w:t xml:space="preserve"> </w:t>
      </w:r>
      <w:r>
        <w:t xml:space="preserve">Chaudhary,</w:t>
      </w:r>
      <w:r>
        <w:t xml:space="preserve"> </w:t>
      </w:r>
      <w:r>
        <w:t xml:space="preserve">Tom</w:t>
      </w:r>
      <w:r>
        <w:t xml:space="preserve"> </w:t>
      </w:r>
      <w:r>
        <w:t xml:space="preserve">Coleman,</w:t>
      </w:r>
      <w:r>
        <w:t xml:space="preserve"> </w:t>
      </w:r>
      <w:r>
        <w:t xml:space="preserve">Dzhemma</w:t>
      </w:r>
      <w:r>
        <w:t xml:space="preserve"> </w:t>
      </w:r>
      <w:r>
        <w:t xml:space="preserve">Ruseva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Explanations</w:t>
      </w:r>
      <w:r>
        <w:t xml:space="preserve"> </w:t>
      </w:r>
      <w:r>
        <w:t xml:space="preserve">as</w:t>
      </w:r>
      <w:r>
        <w:t xml:space="preserve"> </w:t>
      </w:r>
      <w:r>
        <w:t xml:space="preserve">to</w:t>
      </w:r>
      <w:r>
        <w:t xml:space="preserve"> </w:t>
      </w:r>
      <w:r>
        <w:t xml:space="preserve">why</w:t>
      </w:r>
      <w:r>
        <w:t xml:space="preserve"> </w:t>
      </w:r>
      <w:r>
        <w:t xml:space="preserve">certain</w:t>
      </w:r>
      <w:r>
        <w:t xml:space="preserve"> </w:t>
      </w:r>
      <w:r>
        <w:t xml:space="preserve">trigonometric</w:t>
      </w:r>
      <w:r>
        <w:t xml:space="preserve"> </w:t>
      </w:r>
      <w:r>
        <w:t xml:space="preserve">identities</w:t>
      </w:r>
      <w:r>
        <w:t xml:space="preserve"> </w:t>
      </w:r>
      <w:r>
        <w:t xml:space="preserve">are</w:t>
      </w:r>
      <w:r>
        <w:t xml:space="preserve"> </w:t>
      </w:r>
      <w:r>
        <w:t xml:space="preserve">true.</w:t>
      </w:r>
    </w:p>
    <w:p>
      <w:pPr>
        <w:pStyle w:val="FirstParagraph"/>
      </w:pPr>
      <w:r>
        <w:rPr>
          <w:i/>
          <w:iCs/>
        </w:rPr>
        <w:t xml:space="preserve">Before reading this proof sheet, it is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Trigonometric identities (degrees)</w:t>
        </w:r>
      </w:hyperlink>
      <w:r>
        <w:rPr>
          <w:i/>
          <w:iCs/>
        </w:rPr>
        <w:t xml:space="preserve"> </w:t>
      </w:r>
      <w:r>
        <w:rPr>
          <w:i/>
          <w:iCs/>
        </w:rPr>
        <w:t xml:space="preserve">or</w:t>
      </w:r>
      <w:r>
        <w:rPr>
          <w:i/>
          <w:iCs/>
        </w:rPr>
        <w:t xml:space="preserve"> </w:t>
      </w:r>
      <w:hyperlink r:id="rId21">
        <w:r>
          <w:rPr>
            <w:rStyle w:val="Hyperlink"/>
            <w:i/>
            <w:iCs/>
          </w:rPr>
          <w:t xml:space="preserve">Guide: Trigonometric identities (radians)</w:t>
        </w:r>
      </w:hyperlink>
      <w:r>
        <w:rPr>
          <w:i/>
          <w:iCs/>
        </w:rPr>
        <w:t xml:space="preserve">.</w:t>
      </w:r>
    </w:p>
    <w:bookmarkStart w:id="28" w:name="proof-of-pythagorean-identities"/>
    <w:p>
      <w:pPr>
        <w:pStyle w:val="Heading1"/>
      </w:pPr>
      <w:r>
        <w:t xml:space="preserve">Proof of Pythagorean identities</w:t>
      </w:r>
    </w:p>
    <w:p>
      <w:pPr>
        <w:pStyle w:val="FirstParagraph"/>
      </w:pPr>
      <w:r>
        <w:t xml:space="preserve">Remember from</w:t>
      </w:r>
      <w:r>
        <w:t xml:space="preserve"> </w:t>
      </w:r>
      <w:hyperlink r:id="rId20">
        <w:r>
          <w:rPr>
            <w:rStyle w:val="Hyperlink"/>
          </w:rPr>
          <w:t xml:space="preserve">Guide: Trigonometric identities (degrees)</w:t>
        </w:r>
      </w:hyperlink>
      <w:r>
        <w:t xml:space="preserve"> </w:t>
      </w:r>
      <w:r>
        <w:t xml:space="preserve">or</w:t>
      </w:r>
      <w:r>
        <w:t xml:space="preserve"> </w:t>
      </w:r>
      <w:hyperlink r:id="rId21">
        <w:r>
          <w:rPr>
            <w:rStyle w:val="Hyperlink"/>
          </w:rPr>
          <w:t xml:space="preserve">Guide: Trigonometric identities (radians)</w:t>
        </w:r>
      </w:hyperlink>
      <w:r>
        <w:t xml:space="preserve"> </w:t>
      </w:r>
      <w:r>
        <w:t xml:space="preserve">that the</w:t>
      </w:r>
      <w:r>
        <w:t xml:space="preserve"> </w:t>
      </w:r>
      <w:r>
        <w:rPr>
          <w:b/>
          <w:bCs/>
        </w:rPr>
        <w:t xml:space="preserve">Pythagorean identities</w:t>
      </w:r>
      <w:r>
        <w:t xml:space="preserve"> </w:t>
      </w:r>
      <w:r>
        <w:t xml:space="preserve">are:</w:t>
      </w:r>
    </w:p>
    <w:p>
      <w:pPr>
        <w:pStyle w:val="BodyText"/>
      </w:pP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Proof of</w:t>
            </w:r>
            <w:r>
              <w:rPr>
                <w:b/>
                <w:bCs/>
              </w:rPr>
              <w:t xml:space="preserve"> </w:t>
            </w:r>
            <m:oMath>
              <m:sSup>
                <m:e>
                  <m:r>
                    <m:rPr>
                      <m:sty m:val="p"/>
                    </m:rPr>
                    <m:t>sin</m:t>
                  </m:r>
                </m:e>
                <m:sup>
                  <m:r>
                    <m:t>2</m:t>
                  </m:r>
                </m:sup>
              </m:sSup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θ</m:t>
                  </m:r>
                </m:e>
              </m:d>
              <m:r>
                <m:rPr>
                  <m:sty m:val="p"/>
                </m:rPr>
                <m:t>+</m:t>
              </m:r>
              <m:sSup>
                <m:e>
                  <m:r>
                    <m:rPr>
                      <m:sty m:val="p"/>
                    </m:rPr>
                    <m:t>cos</m:t>
                  </m:r>
                </m:e>
                <m:sup>
                  <m:r>
                    <m:t>2</m:t>
                  </m:r>
                </m:sup>
              </m:sSup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θ</m:t>
                  </m:r>
                </m:e>
              </m:d>
              <m:r>
                <m:rPr>
                  <m:sty m:val="p"/>
                </m:rPr>
                <m:t>=</m:t>
              </m:r>
              <m:r>
                <m:t>1</m:t>
              </m:r>
            </m:oMath>
          </w:p>
          <w:p>
            <w:pPr>
              <w:pStyle w:val="BodyText"/>
            </w:pPr>
            <w:pPr>
              <w:spacing w:before="16"/>
            </w:pPr>
            <w:r>
              <w:t xml:space="preserve">You know from</w:t>
            </w:r>
            <w:r>
              <w:t xml:space="preserve"> </w:t>
            </w:r>
            <w:hyperlink r:id="rId25">
              <w:r>
                <w:rPr>
                  <w:rStyle w:val="Hyperlink"/>
                </w:rPr>
                <w:t xml:space="preserve">Guide: Trigonometry (degrees)</w:t>
              </w:r>
            </w:hyperlink>
            <w:r>
              <w:t xml:space="preserve"> </w:t>
            </w:r>
            <w:r>
              <w:t xml:space="preserve">or</w:t>
            </w:r>
            <w:r>
              <w:t xml:space="preserve"> </w:t>
            </w:r>
            <w:hyperlink r:id="rId26">
              <w:r>
                <w:rPr>
                  <w:rStyle w:val="Hyperlink"/>
                </w:rPr>
                <w:t xml:space="preserve">Guide: Trigonometry (radians)</w:t>
              </w:r>
            </w:hyperlink>
            <w:r>
              <w:t xml:space="preserve"> </w:t>
            </w:r>
            <w:r>
              <w:t xml:space="preserve">that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m:t>sin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rPr>
                        <m:nor/>
                        <m:sty m:val="p"/>
                        <m:scr m:val="sans-serif"/>
                      </m:rPr>
                      <m:t>opposite</m:t>
                    </m:r>
                  </m:num>
                  <m:den>
                    <m:r>
                      <m:rPr>
                        <m:nor/>
                        <m:sty m:val="p"/>
                        <m:scr m:val="sans-serif"/>
                      </m:rPr>
                      <m:t>hypotenuse</m:t>
                    </m:r>
                  </m:den>
                </m:f>
                <m:r>
                  <m:t> </m:t>
                </m:r>
                <m:r>
                  <m:rPr>
                    <m:nor/>
                    <m:sty m:val="p"/>
                    <m:scr m:val="sans-serif"/>
                  </m:rPr>
                  <m:t> and </m:t>
                </m:r>
                <m:r>
                  <m:t> </m:t>
                </m:r>
                <m:r>
                  <m:rPr>
                    <m:sty m:val="p"/>
                  </m:rPr>
                  <m:t>cos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rPr>
                        <m:nor/>
                        <m:sty m:val="p"/>
                        <m:scr m:val="sans-serif"/>
                      </m:rPr>
                      <m:t>adjacent</m:t>
                    </m:r>
                  </m:num>
                  <m:den>
                    <m:r>
                      <m:rPr>
                        <m:nor/>
                        <m:sty m:val="p"/>
                        <m:scr m:val="sans-serif"/>
                      </m:rPr>
                      <m:t>hypotenuse</m:t>
                    </m:r>
                  </m:den>
                </m:f>
                <m:r>
                  <m:rPr>
                    <m:sty m:val="p"/>
                  </m:rPr>
                  <m:t>.</m:t>
                </m:r>
              </m:oMath>
            </m:oMathPara>
          </w:p>
          <w:p>
            <w:pPr>
              <w:pStyle w:val="FirstParagraph"/>
            </w:pPr>
            <w:r>
              <w:t xml:space="preserve">You can shorten these to</w:t>
            </w:r>
            <w:r>
              <w:t xml:space="preserve"> </w:t>
            </w:r>
            <m:oMath>
              <m:r>
                <m:t>O</m:t>
              </m:r>
            </m:oMath>
            <w:r>
              <w:t xml:space="preserve"> </w:t>
            </w:r>
            <w:r>
              <w:t xml:space="preserve">for opposite,</w:t>
            </w:r>
            <w:r>
              <w:t xml:space="preserve"> </w:t>
            </w:r>
            <m:oMath>
              <m:r>
                <m:t>A</m:t>
              </m:r>
            </m:oMath>
            <w:r>
              <w:t xml:space="preserve"> </w:t>
            </w:r>
            <w:r>
              <w:t xml:space="preserve">for adjacent and</w:t>
            </w:r>
            <w:r>
              <w:t xml:space="preserve"> </w:t>
            </w:r>
            <m:oMath>
              <m:r>
                <m:t>H</m:t>
              </m:r>
            </m:oMath>
            <w:r>
              <w:t xml:space="preserve"> </w:t>
            </w:r>
            <w:r>
              <w:t xml:space="preserve">for hypotenuse. Rearranging gives</w:t>
            </w:r>
            <w:r>
              <w:t xml:space="preserve"> </w:t>
            </w:r>
            <m:oMath>
              <m:r>
                <m:t>A</m:t>
              </m:r>
              <m:r>
                <m:rPr>
                  <m:sty m:val="p"/>
                </m:rPr>
                <m:t>=</m:t>
              </m:r>
              <m:r>
                <m:t>H</m:t>
              </m:r>
              <m:r>
                <m:rPr>
                  <m:sty m:val="p"/>
                </m:rPr>
                <m:t>cos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θ</m:t>
                  </m:r>
                </m:e>
              </m:d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t>O</m:t>
              </m:r>
              <m:r>
                <m:rPr>
                  <m:sty m:val="p"/>
                </m:rPr>
                <m:t>=</m:t>
              </m:r>
              <m:r>
                <m:t>H</m:t>
              </m:r>
              <m:r>
                <m:rPr>
                  <m:sty m:val="p"/>
                </m:rPr>
                <m:t>sin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θ</m:t>
                  </m:r>
                </m:e>
              </m:d>
            </m:oMath>
            <w:r>
              <w:t xml:space="preserve">.</w:t>
            </w:r>
          </w:p>
          <w:p>
            <w:pPr>
              <w:pStyle w:val="BodyText"/>
            </w:pPr>
            <w:r>
              <w:t xml:space="preserve">From Pythagoras’ Theorem, you also know that</w:t>
            </w:r>
            <w:r>
              <w:t xml:space="preserve"> </w:t>
            </w:r>
            <m:oMath>
              <m:sSup>
                <m:e>
                  <m:r>
                    <m:t>A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+</m:t>
              </m:r>
              <m:sSup>
                <m:e>
                  <m:r>
                    <m:t>O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=</m:t>
              </m:r>
              <m:sSup>
                <m:e>
                  <m:r>
                    <m:t>H</m:t>
                  </m:r>
                </m:e>
                <m:sup>
                  <m:r>
                    <m:t>2</m:t>
                  </m:r>
                </m:sup>
              </m:sSup>
            </m:oMath>
            <w:r>
              <w:t xml:space="preserve">.</w:t>
            </w:r>
          </w:p>
          <w:p>
            <w:pPr>
              <w:pStyle w:val="BodyText"/>
            </w:pPr>
            <w:r>
              <w:t xml:space="preserve">Replacing</w:t>
            </w:r>
            <w:r>
              <w:t xml:space="preserve"> </w:t>
            </w:r>
            <m:oMath>
              <m:r>
                <m:t>A</m:t>
              </m:r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t>O</m:t>
              </m:r>
            </m:oMath>
            <w:r>
              <w:t xml:space="preserve"> </w:t>
            </w:r>
            <w:r>
              <w:t xml:space="preserve">with the expressions above, you get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H</m:t>
                        </m:r>
                        <m:r>
                          <m:rPr>
                            <m:sty m:val="p"/>
                          </m:rPr>
                          <m:t>cos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θ</m:t>
                            </m:r>
                          </m:e>
                        </m:d>
                      </m:e>
                    </m:d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H</m:t>
                        </m:r>
                        <m:r>
                          <m:rPr>
                            <m:sty m:val="p"/>
                          </m:rPr>
                          <m:t>sin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θ</m:t>
                            </m:r>
                          </m:e>
                        </m:d>
                      </m:e>
                    </m:d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=</m:t>
                </m:r>
                <m:sSup>
                  <m:e>
                    <m:r>
                      <m:t>H</m:t>
                    </m:r>
                  </m:e>
                  <m:sup>
                    <m:r>
                      <m:t>2</m:t>
                    </m:r>
                  </m:sup>
                </m:sSup>
              </m:oMath>
            </m:oMathPara>
          </w:p>
          <w:p>
            <w:pPr>
              <w:pStyle w:val="FirstParagraph"/>
            </w:pPr>
            <w:r>
              <w:t xml:space="preserve">Using the laws of indices (see</w:t>
            </w:r>
            <w:r>
              <w:t xml:space="preserve"> </w:t>
            </w:r>
            <w:hyperlink r:id="rId27">
              <w:r>
                <w:rPr>
                  <w:rStyle w:val="Hyperlink"/>
                </w:rPr>
                <w:t xml:space="preserve">Guide: Laws of indices</w:t>
              </w:r>
            </w:hyperlink>
            <w:r>
              <w:t xml:space="preserve">), and using the standard notation</w:t>
            </w:r>
            <w:r>
              <w:t xml:space="preserve"> </w:t>
            </w:r>
            <m:oMath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rPr>
                          <m:sty m:val="p"/>
                        </m:rPr>
                        <m:t>cos</m:t>
                      </m:r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r>
                            <m:t>θ</m:t>
                          </m:r>
                        </m:e>
                      </m:d>
                    </m:e>
                  </m:d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=</m:t>
              </m:r>
              <m:sSup>
                <m:e>
                  <m:r>
                    <m:rPr>
                      <m:sty m:val="p"/>
                    </m:rPr>
                    <m:t>cos</m:t>
                  </m:r>
                </m:e>
                <m:sup>
                  <m:r>
                    <m:t>2</m:t>
                  </m:r>
                </m:sup>
              </m:sSup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θ</m:t>
                  </m:r>
                </m:e>
              </m:d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rPr>
                          <m:sty m:val="p"/>
                        </m:rPr>
                        <m:t>sin</m:t>
                      </m:r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r>
                            <m:t>θ</m:t>
                          </m:r>
                        </m:e>
                      </m:d>
                    </m:e>
                  </m:d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=</m:t>
              </m:r>
              <m:sSup>
                <m:e>
                  <m:r>
                    <m:rPr>
                      <m:sty m:val="p"/>
                    </m:rPr>
                    <m:t>sin</m:t>
                  </m:r>
                </m:e>
                <m:sup>
                  <m:r>
                    <m:t>2</m:t>
                  </m:r>
                </m:sup>
              </m:sSup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θ</m:t>
                  </m:r>
                </m:e>
              </m:d>
            </m:oMath>
            <w:r>
              <w:t xml:space="preserve"> </w:t>
            </w:r>
            <w:r>
              <w:t xml:space="preserve">you can write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p>
                  <m:e>
                    <m:r>
                      <m:t>H</m:t>
                    </m:r>
                  </m:e>
                  <m:sup>
                    <m:r>
                      <m:t>2</m:t>
                    </m:r>
                  </m:sup>
                </m:sSup>
                <m:sSup>
                  <m:e>
                    <m:r>
                      <m:rPr>
                        <m:sty m:val="p"/>
                      </m:rPr>
                      <m:t>cos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  <m:r>
                  <m:rPr>
                    <m:sty m:val="p"/>
                  </m:rPr>
                  <m:t>+</m:t>
                </m:r>
                <m:sSup>
                  <m:e>
                    <m:r>
                      <m:t>H</m:t>
                    </m:r>
                  </m:e>
                  <m:sup>
                    <m:r>
                      <m:t>2</m:t>
                    </m:r>
                  </m:sup>
                </m:sSup>
                <m:sSup>
                  <m:e>
                    <m:r>
                      <m:rPr>
                        <m:sty m:val="p"/>
                      </m:rPr>
                      <m:t>sin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  <m:r>
                  <m:rPr>
                    <m:sty m:val="p"/>
                  </m:rPr>
                  <m:t>=</m:t>
                </m:r>
                <m:sSup>
                  <m:e>
                    <m:r>
                      <m:t>H</m:t>
                    </m:r>
                  </m:e>
                  <m:sup>
                    <m:r>
                      <m:t>2</m:t>
                    </m:r>
                  </m:sup>
                </m:sSup>
              </m:oMath>
            </m:oMathPara>
          </w:p>
          <w:p>
            <w:pPr>
              <w:pStyle w:val="FirstParagraph"/>
            </w:pPr>
            <w:r>
              <w:t xml:space="preserve">Divide everything by the non-zero</w:t>
            </w:r>
            <w:r>
              <w:t xml:space="preserve"> </w:t>
            </w:r>
            <m:oMath>
              <m:sSup>
                <m:e>
                  <m:r>
                    <m:t>H</m:t>
                  </m:r>
                </m:e>
                <m:sup>
                  <m:r>
                    <m:t>2</m:t>
                  </m:r>
                </m:sup>
              </m:sSup>
            </m:oMath>
            <w:r>
              <w:t xml:space="preserve"> </w:t>
            </w:r>
            <w:r>
              <w:t xml:space="preserve">to get: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f>
                  <m:fPr>
                    <m:type m:val="bar"/>
                  </m:fPr>
                  <m:num>
                    <m:sSup>
                      <m:e>
                        <m:r>
                          <m:t>H</m:t>
                        </m:r>
                      </m:e>
                      <m:sup>
                        <m:r>
                          <m:t>2</m:t>
                        </m:r>
                      </m:sup>
                    </m:sSup>
                    <m:sSup>
                      <m:e>
                        <m:r>
                          <m:rPr>
                            <m:sty m:val="p"/>
                          </m:rPr>
                          <m:t>cos</m:t>
                        </m:r>
                      </m:e>
                      <m:sup>
                        <m:r>
                          <m:t>2</m:t>
                        </m:r>
                      </m:sup>
                    </m:sSup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θ</m:t>
                        </m:r>
                      </m:e>
                    </m:d>
                  </m:num>
                  <m:den>
                    <m:sSup>
                      <m:e>
                        <m:r>
                          <m:t>H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den>
                </m:f>
                <m:r>
                  <m:rPr>
                    <m:sty m:val="p"/>
                  </m:rPr>
                  <m:t>+</m:t>
                </m:r>
                <m:f>
                  <m:fPr>
                    <m:type m:val="bar"/>
                  </m:fPr>
                  <m:num>
                    <m:sSup>
                      <m:e>
                        <m:r>
                          <m:t>H</m:t>
                        </m:r>
                      </m:e>
                      <m:sup>
                        <m:r>
                          <m:t>2</m:t>
                        </m:r>
                      </m:sup>
                    </m:sSup>
                    <m:sSup>
                      <m:e>
                        <m:r>
                          <m:rPr>
                            <m:sty m:val="p"/>
                          </m:rPr>
                          <m:t>sin</m:t>
                        </m:r>
                      </m:e>
                      <m:sup>
                        <m:r>
                          <m:t>2</m:t>
                        </m:r>
                      </m:sup>
                    </m:sSup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θ</m:t>
                        </m:r>
                      </m:e>
                    </m:d>
                  </m:num>
                  <m:den>
                    <m:sSup>
                      <m:e>
                        <m:r>
                          <m:t>H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den>
                </m:f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sSup>
                      <m:e>
                        <m:r>
                          <m:t>H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num>
                  <m:den>
                    <m:sSup>
                      <m:e>
                        <m:r>
                          <m:t>H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den>
                </m:f>
              </m:oMath>
            </m:oMathPara>
          </w:p>
          <w:p>
            <w:pPr>
              <w:pStyle w:val="FirstParagraph"/>
            </w:pPr>
            <w:pPr>
              <w:spacing w:after="16"/>
            </w:pPr>
            <w:r>
              <w:t xml:space="preserve">Therefore</w:t>
            </w:r>
            <w:r>
              <w:t xml:space="preserve"> </w:t>
            </w:r>
            <m:oMath>
              <m:sSup>
                <m:e>
                  <m:r>
                    <m:rPr>
                      <m:sty m:val="p"/>
                    </m:rPr>
                    <m:t>cos</m:t>
                  </m:r>
                </m:e>
                <m:sup>
                  <m:r>
                    <m:t>2</m:t>
                  </m:r>
                </m:sup>
              </m:sSup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θ</m:t>
                  </m:r>
                </m:e>
              </m:d>
              <m:r>
                <m:rPr>
                  <m:sty m:val="p"/>
                </m:rPr>
                <m:t>+</m:t>
              </m:r>
              <m:sSup>
                <m:e>
                  <m:r>
                    <m:rPr>
                      <m:sty m:val="p"/>
                    </m:rPr>
                    <m:t>sin</m:t>
                  </m:r>
                </m:e>
                <m:sup>
                  <m:r>
                    <m:t>2</m:t>
                  </m:r>
                </m:sup>
              </m:sSup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θ</m:t>
                  </m:r>
                </m:e>
              </m:d>
              <m:r>
                <m:rPr>
                  <m:sty m:val="p"/>
                </m:rPr>
                <m:t>=</m:t>
              </m:r>
              <m:r>
                <m:t>1</m:t>
              </m:r>
            </m:oMath>
            <w:r>
              <w:t xml:space="preserve">.</w:t>
            </w:r>
          </w:p>
        </w:tc>
      </w:tr>
    </w:tbl>
    <w:bookmarkEnd w:id="28"/>
    <w:bookmarkStart w:id="29" w:name="proof-of-sum-identities"/>
    <w:p>
      <w:pPr>
        <w:pStyle w:val="Heading1"/>
      </w:pPr>
      <w:r>
        <w:t xml:space="preserve">Proof of sum identities</w:t>
      </w:r>
    </w:p>
    <w:bookmarkEnd w:id="29"/>
    <w:bookmarkStart w:id="32" w:name="further-reading"/>
    <w:p>
      <w:pPr>
        <w:pStyle w:val="Heading1"/>
      </w:pPr>
      <w:r>
        <w:t xml:space="preserve">Further reading</w:t>
      </w:r>
    </w:p>
    <w:p>
      <w:pPr>
        <w:pStyle w:val="FirstParagraph"/>
      </w:pPr>
      <w:hyperlink r:id="rId20">
        <w:r>
          <w:rPr>
            <w:rStyle w:val="Hyperlink"/>
          </w:rPr>
          <w:t xml:space="preserve">Guide: Trigonometric identities (degrees)</w:t>
        </w:r>
      </w:hyperlink>
    </w:p>
    <w:p>
      <w:pPr>
        <w:pStyle w:val="BodyText"/>
      </w:pPr>
      <w:hyperlink r:id="rId30">
        <w:r>
          <w:rPr>
            <w:rStyle w:val="Hyperlink"/>
          </w:rPr>
          <w:t xml:space="preserve">Questions: Trigonometric identities (degrees)</w:t>
        </w:r>
      </w:hyperlink>
    </w:p>
    <w:bookmarkStart w:id="31" w:name="version-history"/>
    <w:p>
      <w:pPr>
        <w:pStyle w:val="Heading2"/>
      </w:pPr>
      <w:r>
        <w:t xml:space="preserve">Version history</w:t>
      </w:r>
    </w:p>
    <w:p>
      <w:pPr>
        <w:pStyle w:val="FirstParagraph"/>
      </w:pPr>
      <w:r>
        <w:t xml:space="preserve">v1.0: created in 04/24 by tdhc.</w:t>
      </w:r>
    </w:p>
    <w:bookmarkEnd w:id="31"/>
    <w:bookmarkEnd w:id="32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30" Target="../questions/qs-trigonometricidentities-degrees.qmd" TargetMode="External" /><Relationship Type="http://schemas.openxmlformats.org/officeDocument/2006/relationships/hyperlink" Id="rId27" Target="../studyguides/lawsofindices.qmd" TargetMode="External" /><Relationship Type="http://schemas.openxmlformats.org/officeDocument/2006/relationships/hyperlink" Id="rId20" Target="../studyguides/trigonometricidentities-degrees.qmd" TargetMode="External" /><Relationship Type="http://schemas.openxmlformats.org/officeDocument/2006/relationships/hyperlink" Id="rId21" Target="../studyguides/trigonometricidentities-radians.qmd" TargetMode="External" /><Relationship Type="http://schemas.openxmlformats.org/officeDocument/2006/relationships/hyperlink" Id="rId25" Target="../studyguides/trigonometry-degrees.qmd" TargetMode="External" /><Relationship Type="http://schemas.openxmlformats.org/officeDocument/2006/relationships/hyperlink" Id="rId26" Target="../studyguides/trigonometry-radians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0" Target="../questions/qs-trigonometricidentities-degrees.qmd" TargetMode="External" /><Relationship Type="http://schemas.openxmlformats.org/officeDocument/2006/relationships/hyperlink" Id="rId27" Target="../studyguides/lawsofindices.qmd" TargetMode="External" /><Relationship Type="http://schemas.openxmlformats.org/officeDocument/2006/relationships/hyperlink" Id="rId20" Target="../studyguides/trigonometricidentities-degrees.qmd" TargetMode="External" /><Relationship Type="http://schemas.openxmlformats.org/officeDocument/2006/relationships/hyperlink" Id="rId21" Target="../studyguides/trigonometricidentities-radians.qmd" TargetMode="External" /><Relationship Type="http://schemas.openxmlformats.org/officeDocument/2006/relationships/hyperlink" Id="rId25" Target="../studyguides/trigonometry-degrees.qmd" TargetMode="External" /><Relationship Type="http://schemas.openxmlformats.org/officeDocument/2006/relationships/hyperlink" Id="rId26" Target="../studyguides/trigonometry-radians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Proof: Trigonometric identities</dc:title>
  <dc:creator>Shanelle Advani, Krish Chaudhary, Tom Coleman, Dzhemma Ruseva</dc:creator>
  <cp:keywords/>
  <dcterms:created xsi:type="dcterms:W3CDTF">2025-03-28T17:31:08Z</dcterms:created>
  <dcterms:modified xsi:type="dcterms:W3CDTF">2025-03-28T17:31:08Z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Explanations as to why certain trigonometric identities are true.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draft">
    <vt:lpwstr>True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