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Renee</w:t>
      </w:r>
      <w:r>
        <w:t xml:space="preserve"> </w:t>
      </w:r>
      <w:r>
        <w:t xml:space="preserve">Knapp,</w:t>
      </w:r>
      <w:r>
        <w:t xml:space="preserve"> </w:t>
      </w:r>
      <w:r>
        <w:t xml:space="preserve">Kin</w:t>
      </w:r>
      <w:r>
        <w:t xml:space="preserve"> </w:t>
      </w:r>
      <w:r>
        <w:t xml:space="preserve">Wang</w:t>
      </w:r>
      <w:r>
        <w:t xml:space="preserve"> </w:t>
      </w:r>
      <w:r>
        <w:t xml:space="preserve">Pang</w:t>
      </w:r>
    </w:p>
    <w:p>
      <w:pPr>
        <w:pStyle w:val="AbstractTitle"/>
      </w:pPr>
      <w:r>
        <w:t xml:space="preserve">Summary</w:t>
      </w:r>
    </w:p>
    <w:p>
      <w:pPr>
        <w:pStyle w:val="Abstract"/>
      </w:pPr>
      <w:r>
        <w:t xml:space="preserve">Understanding</w:t>
      </w:r>
      <w:r>
        <w:t xml:space="preserve"> </w:t>
      </w:r>
      <w:r>
        <w:t xml:space="preserve">and</w:t>
      </w:r>
      <w:r>
        <w:t xml:space="preserve"> </w:t>
      </w:r>
      <w:r>
        <w:t xml:space="preserve">utilising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when</w:t>
      </w:r>
      <w:r>
        <w:t xml:space="preserve"> </w:t>
      </w:r>
      <w:r>
        <w:t xml:space="preserve">studying</w:t>
      </w:r>
      <w:r>
        <w:t xml:space="preserve"> </w:t>
      </w:r>
      <w:r>
        <w:t xml:space="preserve">vectors,</w:t>
      </w:r>
      <w:r>
        <w:t xml:space="preserve"> </w:t>
      </w:r>
      <w:r>
        <w:t xml:space="preserve">particularly</w:t>
      </w:r>
      <w:r>
        <w:t xml:space="preserve"> </w:t>
      </w:r>
      <w:r>
        <w:t xml:space="preserve">when</w:t>
      </w:r>
      <w:r>
        <w:t xml:space="preserve"> </w:t>
      </w:r>
      <w:r>
        <w:t xml:space="preserve">it</w:t>
      </w:r>
      <w:r>
        <w:t xml:space="preserve"> </w:t>
      </w:r>
      <w:r>
        <w:t xml:space="preserve">comes</w:t>
      </w:r>
      <w:r>
        <w:t xml:space="preserve"> </w:t>
      </w:r>
      <w:r>
        <w:t xml:space="preserve">to</w:t>
      </w:r>
      <w:r>
        <w:t xml:space="preserve"> </w:t>
      </w:r>
      <w:r>
        <w:t xml:space="preserve">solving</w:t>
      </w:r>
      <w:r>
        <w:t xml:space="preserve"> </w:t>
      </w:r>
      <w:r>
        <w:t xml:space="preserve">equations</w:t>
      </w:r>
      <w:r>
        <w:t xml:space="preserve"> </w:t>
      </w:r>
      <w:r>
        <w:t xml:space="preserve">involving</w:t>
      </w:r>
      <w:r>
        <w:t xml:space="preserve"> </w:t>
      </w:r>
      <w:r>
        <w:t xml:space="preserve">vectors.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w:t>
        </w:r>
        <w:r>
          <w:rPr>
            <w:rStyle w:val="Hyperlink"/>
            <w:i/>
            <w:iCs/>
          </w:rPr>
          <w:t xml:space="preserve"> </w:t>
        </w:r>
        <w:r>
          <w:rPr>
            <w:rStyle w:val="Hyperlink"/>
            <w:i/>
            <w:iCs/>
          </w:rPr>
          <w:t xml:space="preserve">Introduction to vectors</w:t>
        </w:r>
      </w:hyperlink>
      <w:r>
        <w:rPr>
          <w:i/>
          <w:iCs/>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
          <w:bCs/>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
          <w:bCs/>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
                <w:bCs/>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on"/>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
          <w:iCs/>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ayout w:type="fixed"/>
        <w:tblLook w:firstRow="0" w:lastRow="0" w:firstColumn="0" w:lastColumn="0" w:noHBand="0" w:noVBand="0" w:val="0000"/>
      </w:tblPr>
      <w:tblGrid>
        <w:gridCol w:w="7920"/>
      </w:tblGrid>
      <w:tr>
        <w:tc>
          <w:tcPr/>
          <w:bookmarkStart w:id="36" w:name="fig-2"/>
          <w:p>
            <w:pPr>
              <w:pStyle w:val="Compact"/>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p>
      <w:pPr>
        <w:pStyle w:val="BodyText"/>
      </w:pPr>
      <w:r>
        <w:t xml:space="preserve">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p>
          <w:p>
            <w:pPr>
              <w:pStyle w:val="BodyText"/>
            </w:pPr>
            <w:pPr>
              <w:spacing w:after="16"/>
            </w:pPr>
          </w:p>
        </w:tc>
      </w:tr>
    </w:tbl>
    <w:p>
      <w:pPr>
        <w:pStyle w:val="BodyText"/>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
          <w:bCs/>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
          <w:bCs/>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
          <w:bCs/>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
          <w:bCs/>
        </w:rPr>
        <w:t xml:space="preserve">associativity</w:t>
      </w:r>
      <w:r>
        <w:t xml:space="preserve">).</w:t>
      </w:r>
    </w:p>
    <w:p>
      <w:pPr>
        <w:pStyle w:val="FirstParagraph"/>
      </w:pPr>
      <w:r>
        <w:t xml:space="preserve">The</w:t>
      </w:r>
      <w:r>
        <w:t xml:space="preserve"> </w:t>
      </w:r>
      <w:r>
        <w:rPr>
          <w:b/>
          <w:bCs/>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on"/>
                      <m:mcs>
                        <m:mc>
                          <m:mcPr>
                            <m:mcJc m:val="center"/>
                            <m:count m:val="1"/>
                          </m:mcPr>
                        </m:mc>
                      </m:mcs>
                    </m:mPr>
                    <m:mr>
                      <m:e>
                        <m:r>
                          <m:t>12</m:t>
                        </m:r>
                      </m:e>
                    </m:mr>
                    <m:mr>
                      <m:e>
                        <m:r>
                          <m:t>5</m:t>
                        </m:r>
                      </m:e>
                    </m:mr>
                    <m:mr>
                      <m:e>
                        <m:r>
                          <m:rPr>
                            <m:sty m:val="p"/>
                          </m:rPr>
                          <m:t>−</m:t>
                        </m:r>
                        <m:r>
                          <m:t>4</m:t>
                        </m:r>
                      </m:e>
                    </m:mr>
                  </m:m>
                </m:e>
              </m:d>
            </m:oMath>
          </w:p>
        </w:tc>
      </w:tr>
    </w:tbl>
    <w:bookmarkEnd w:id="49"/>
    <w:bookmarkEnd w:id="50"/>
    <w:bookmarkStart w:id="71"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
          <w:bCs/>
        </w:rPr>
        <w:t xml:space="preserve">scalar</w:t>
      </w:r>
      <w:r>
        <w:t xml:space="preserve">, which is usually a real number.</w:t>
      </w:r>
      <w:r>
        <w:t xml:space="preserve"> </w:t>
      </w:r>
      <w:r>
        <w:rPr>
          <w:b/>
          <w:bCs/>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
          <w:iCs/>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ayout w:type="fixed"/>
        <w:tblLook w:firstRow="0" w:lastRow="0" w:firstColumn="0" w:lastColumn="0" w:noHBand="0" w:noVBand="0" w:val="0000"/>
      </w:tblPr>
      <w:tblGrid>
        <w:gridCol w:w="7920"/>
      </w:tblGrid>
      <w:tr>
        <w:tc>
          <w:tcPr/>
          <w:bookmarkStart w:id="54" w:name="fig-3"/>
          <w:p>
            <w:pPr>
              <w:pStyle w:val="Compact"/>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w:t>
      </w:r>
      <w:r>
        <w:t xml:space="preserve">lambda</w:t>
      </w:r>
      <w:r>
        <w:t xml:space="preserve">’</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
                <w:bCs/>
              </w:rPr>
              <w:t xml:space="preserve">scalar multiple of</w:t>
            </w:r>
            <w:r>
              <w:rPr>
                <w:b/>
                <w:bCs/>
              </w:rPr>
              <w:t xml:space="preserve"> </w:t>
            </w:r>
            <m:oMath>
              <m:r>
                <m:rPr>
                  <m:sty m:val="b"/>
                </m:rPr>
                <m:t>a</m:t>
              </m:r>
            </m:oMath>
            <w:r>
              <w:rPr>
                <w:b/>
                <w:bCs/>
              </w:rPr>
              <w:t xml:space="preserve"> </w:t>
            </w:r>
            <w:r>
              <w:rPr>
                <w:b/>
                <w:bCs/>
              </w:rPr>
              <w:t xml:space="preserve">by</w:t>
            </w:r>
            <w:r>
              <w:rPr>
                <w:b/>
                <w:bCs/>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on"/>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on"/>
                      <m:mcs>
                        <m:mc>
                          <m:mcPr>
                            <m:mcJc m:val="center"/>
                            <m:count m:val="1"/>
                          </m:mcPr>
                        </m:mc>
                      </m:mcs>
                    </m:mPr>
                    <m:mr>
                      <m:e>
                        <m:r>
                          <m:t>15</m:t>
                        </m:r>
                      </m:e>
                    </m:mr>
                    <m:mr>
                      <m:e>
                        <m:r>
                          <m:t>25</m:t>
                        </m:r>
                      </m:e>
                    </m:mr>
                    <m:mr>
                      <m:e>
                        <m:r>
                          <m:t>30</m:t>
                        </m:r>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w:t>
      </w:r>
      <w:r>
        <w:t xml:space="preserve"> </w:t>
      </w:r>
      <w:r>
        <w:t xml:space="preserve">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
          <w:bCs/>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
          <w:bCs/>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
          <w:bCs/>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
          <w:bCs/>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0" w:name="solving-vector-equations"/>
    <w:p>
      <w:pPr>
        <w:pStyle w:val="Heading2"/>
      </w:pPr>
      <w:r>
        <w:t xml:space="preserve">Solving vector equations</w:t>
      </w:r>
    </w:p>
    <w:p>
      <w:pPr>
        <w:pStyle w:val="FirstParagraph"/>
      </w:pPr>
      <w:r>
        <w:t xml:space="preserve">By combining addition and scalar multiplication, you can form vector</w:t>
      </w:r>
      <w:r>
        <w:t xml:space="preserve"> </w:t>
      </w:r>
      <w:r>
        <w:t xml:space="preserve">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 [Guide: Solving simultaneous equations] for more.</w:t>
      </w:r>
    </w:p>
    <w:p>
      <w:pPr>
        <w:pStyle w:val="BodyText"/>
      </w:pPr>
      <w:r>
        <w:t xml:space="preserve">Solving vector equations is best done when following the lead of examples; here are two. The first of these involves</w:t>
      </w:r>
      <w:r>
        <w:t xml:space="preserve"> </w:t>
      </w:r>
      <w:r>
        <w:rPr>
          <w:b/>
          <w:bCs/>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on"/>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pPr>
              <w:spacing w:after="16"/>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
                <w:bCs/>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w:t>
            </w:r>
            <w:r>
              <w:t xml:space="preserve">lambda</w:t>
            </w:r>
            <w:r>
              <w:t xml:space="preserve">’</w:t>
            </w:r>
            <w:r>
              <w:t xml:space="preserve">) and</w:t>
            </w:r>
            <w:r>
              <w:t xml:space="preserve"> </w:t>
            </w:r>
            <m:oMath>
              <m:r>
                <m:t>μ</m:t>
              </m:r>
            </m:oMath>
            <w:r>
              <w:t xml:space="preserve"> </w:t>
            </w:r>
            <w:r>
              <w:t xml:space="preserve">(</w:t>
            </w:r>
            <w:r>
              <w:t xml:space="preserve">‘</w:t>
            </w:r>
            <w:r>
              <w:t xml:space="preserve">mu</w:t>
            </w:r>
            <w:r>
              <w:t xml:space="preserve">’</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r>
              <w:t xml:space="preserve"> </w:t>
            </w:r>
            <w:r>
              <w:t xml:space="preserve"> </w:t>
            </w:r>
            <w:r>
              <w:t xml:space="preserve">Solving these equations (see [Guide: Solving simultaneous equations] 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0"/>
    <w:bookmarkEnd w:id="71"/>
    <w:bookmarkStart w:id="72"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on"/>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2"/>
    <w:bookmarkStart w:id="77" w:name="further-reading"/>
    <w:p>
      <w:pPr>
        <w:pStyle w:val="Heading1"/>
      </w:pPr>
      <w:r>
        <w:t xml:space="preserve">Further reading</w:t>
      </w:r>
    </w:p>
    <w:p>
      <w:pPr>
        <w:pStyle w:val="FirstParagraph"/>
      </w:pPr>
      <w:hyperlink r:id="rId73">
        <w:r>
          <w:rPr>
            <w:rStyle w:val="Hyperlink"/>
          </w:rPr>
          <w:t xml:space="preserve">For more questions on the subject, please go to Questions: Vector addition and</w:t>
        </w:r>
        <w:r>
          <w:rPr>
            <w:rStyle w:val="Hyperlink"/>
          </w:rPr>
          <w:t xml:space="preserve"> </w:t>
        </w:r>
        <w:r>
          <w:rPr>
            <w:rStyle w:val="Hyperlink"/>
          </w:rPr>
          <w:t xml:space="preserve">scalar multiplication.</w:t>
        </w:r>
      </w:hyperlink>
    </w:p>
    <w:p>
      <w:pPr>
        <w:pStyle w:val="BodyText"/>
      </w:pPr>
      <w:r>
        <w:t xml:space="preserve">To explore more about vectors, including when two vectors are perpendicular, please see</w:t>
      </w:r>
      <w:r>
        <w:t xml:space="preserve"> </w:t>
      </w:r>
      <w:hyperlink r:id="rId74">
        <w:r>
          <w:rPr>
            <w:rStyle w:val="Hyperlink"/>
          </w:rPr>
          <w:t xml:space="preserve">Guide: The scalar product</w:t>
        </w:r>
      </w:hyperlink>
      <w:r>
        <w:t xml:space="preserve">.</w:t>
      </w:r>
    </w:p>
    <w:bookmarkStart w:id="76"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pStyle w:val="Compact"/>
        <w:numPr>
          <w:ilvl w:val="0"/>
          <w:numId w:val="1007"/>
        </w:numPr>
      </w:pPr>
      <w:r>
        <w:t xml:space="preserve">v1.1: edited 05/24 by tdhc.</w:t>
      </w:r>
    </w:p>
    <w:p>
      <w:pPr>
        <w:pStyle w:val="FirstParagraph"/>
      </w:pPr>
      <w:hyperlink r:id="rId75">
        <w:r>
          <w:rPr>
            <w:rStyle w:val="Hyperlink"/>
          </w:rPr>
          <w:t xml:space="preserve">This work is licensed under CC BY-NC-SA 4.0.</w:t>
        </w:r>
      </w:hyperlink>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2025-03-12T12:23:24Z</dcterms:created>
  <dcterms:modified xsi:type="dcterms:W3CDTF">2025-03-12T12:23:24Z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FiguresPNG/addandsm-image.png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