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 the square</w:t>
      </w:r>
    </w:p>
    <w:p>
      <w:pPr>
        <w:pStyle w:val="Author"/>
      </w:pPr>
      <w:r>
        <w:t xml:space="preserve">Tom Coleman</w:t>
      </w:r>
    </w:p>
    <w:p>
      <w:pPr>
        <w:pStyle w:val="AbstractTitle"/>
      </w:pPr>
      <w:r>
        <w:t xml:space="preserve">Summary</w:t>
      </w:r>
    </w:p>
    <w:p>
      <w:pPr>
        <w:pStyle w:val="Abstract"/>
      </w:pPr>
      <w:r>
        <w:t xml:space="preserve">Completing the square is an important technique to learn for dealing with quadratic expressions in a variety of places. It can help you solve quadratic equations, accurately sketch graphs of conic sections, and is widely used in integral 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‘factorization with a remainder’</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‘completing the square’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2025-05-01T11:56:05Z</dcterms:created>
  <dcterms:modified xsi:type="dcterms:W3CDTF">2025-05-01T11:56:05Z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