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47.png" ContentType="image/png"/>
  <Override PartName="/word/media/rId24.png" ContentType="image/png"/>
  <Override PartName="/word/media/rId37.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probability</w:t>
        </w:r>
      </w:hyperlink>
      <w:r>
        <w:rPr>
          <w:i/>
          <w:iCs/>
        </w:rPr>
        <w:t xml:space="preserve">,</w:t>
      </w:r>
      <w:r>
        <w:rPr>
          <w:i/>
          <w:iCs/>
        </w:rPr>
        <w:t xml:space="preserve"> </w:t>
      </w:r>
      <w:hyperlink r:id="rId21">
        <w:r>
          <w:rPr>
            <w:rStyle w:val="Hyperlink"/>
            <w:i/>
            <w:iCs/>
          </w:rPr>
          <w:t xml:space="preserve">Guide: Expected value, variance, standard deviation</w:t>
        </w:r>
      </w:hyperlink>
      <w:r>
        <w:rPr>
          <w:i/>
          <w:iCs/>
        </w:rPr>
        <w:t xml:space="preserve">, and</w:t>
      </w:r>
      <w:r>
        <w:rPr>
          <w:i/>
          <w:iCs/>
        </w:rPr>
        <w:t xml:space="preserve"> </w:t>
      </w:r>
      <w:hyperlink r:id="rId22">
        <w:r>
          <w:rPr>
            <w:rStyle w:val="Hyperlink"/>
            <w:i/>
            <w:iCs/>
          </w:rPr>
          <w:t xml:space="preserve">Guide: PMFs, PDFs, CDFs</w:t>
        </w:r>
      </w:hyperlink>
      <w:r>
        <w:rPr>
          <w:i/>
          <w:iCs/>
        </w:rPr>
        <w:t xml:space="preserve">.</w:t>
      </w:r>
    </w:p>
    <w:bookmarkStart w:id="23"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3"/>
    <w:bookmarkStart w:id="33"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3"/>
    <w:bookmarkStart w:id="34"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4"/>
    <w:bookmarkStart w:id="40"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40"/>
    <w:bookmarkStart w:id="59"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2">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50" w:name="fig-1"/>
          <w:p>
            <w:pPr>
              <w:pStyle w:val="Compact"/>
              <w:jc w:val="center"/>
            </w:pPr>
            <w:r>
              <w:drawing>
                <wp:inline>
                  <wp:extent cx="5755521" cy="2186608"/>
                  <wp:effectExtent b="0" l="0" r="0" t="0"/>
                  <wp:docPr descr="" title="" id="48" name="Picture"/>
                  <a:graphic>
                    <a:graphicData uri="http://schemas.openxmlformats.org/drawingml/2006/picture">
                      <pic:pic>
                        <pic:nvPicPr>
                          <pic:cNvPr descr="./FiguresPNG/hypothesistesting-fig3-3.png" id="49" name="Picture"/>
                          <pic:cNvPicPr>
                            <a:picLocks noChangeArrowheads="1" noChangeAspect="1"/>
                          </pic:cNvPicPr>
                        </pic:nvPicPr>
                        <pic:blipFill>
                          <a:blip r:embed="rId47"/>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2186608"/>
                  <wp:effectExtent b="0" l="0" r="0" t="0"/>
                  <wp:docPr descr="" title="" id="52" name="Picture"/>
                  <a:graphic>
                    <a:graphicData uri="http://schemas.openxmlformats.org/drawingml/2006/picture">
                      <pic:pic>
                        <pic:nvPicPr>
                          <pic:cNvPr descr="./FiguresPNG/hypothesistesting-fig2-2.png" id="53" name="Picture"/>
                          <pic:cNvPicPr>
                            <a:picLocks noChangeArrowheads="1" noChangeAspect="1"/>
                          </pic:cNvPicPr>
                        </pic:nvPicPr>
                        <pic:blipFill>
                          <a:blip r:embed="rId51"/>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fig-3"/>
          <w:p>
            <w:pPr>
              <w:pStyle w:val="Compact"/>
              <w:jc w:val="center"/>
            </w:pPr>
            <w:r>
              <w:drawing>
                <wp:inline>
                  <wp:extent cx="5755521" cy="2186608"/>
                  <wp:effectExtent b="0" l="0" r="0" t="0"/>
                  <wp:docPr descr="" title="" id="56" name="Picture"/>
                  <a:graphic>
                    <a:graphicData uri="http://schemas.openxmlformats.org/drawingml/2006/picture">
                      <pic:pic>
                        <pic:nvPicPr>
                          <pic:cNvPr descr="./FiguresPNG/hypothesistesting-fig1-1.png" id="57" name="Picture"/>
                          <pic:cNvPicPr>
                            <a:picLocks noChangeArrowheads="1" noChangeAspect="1"/>
                          </pic:cNvPicPr>
                        </pic:nvPicPr>
                        <pic:blipFill>
                          <a:blip r:embed="rId5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8"/>
        </w:tc>
      </w:tr>
    </w:tbl>
    <w:bookmarkEnd w:id="59"/>
    <w:bookmarkStart w:id="68"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7">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8"/>
    <w:bookmarkStart w:id="69"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9"/>
    <w:bookmarkStart w:id="73" w:name="further-reading"/>
    <w:p>
      <w:pPr>
        <w:pStyle w:val="Heading1"/>
      </w:pPr>
      <w:r>
        <w:t xml:space="preserve">Further reading</w:t>
      </w:r>
    </w:p>
    <w:p>
      <w:pPr>
        <w:pStyle w:val="FirstParagraph"/>
      </w:pPr>
      <w:hyperlink r:id="rId70">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2"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71">
        <w:r>
          <w:rPr>
            <w:rStyle w:val="Hyperlink"/>
          </w:rPr>
          <w:t xml:space="preserve">This work is licensed under CC BY-NC-SA 4.0.</w:t>
        </w:r>
      </w:hyperlink>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2025-08-20T15:03:02Z</dcterms:created>
  <dcterms:modified xsi:type="dcterms:W3CDTF">2025-08-20T15:03:02Z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