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3.png" ContentType="image/png"/>
  <Override PartName="/word/media/rId58.png" ContentType="image/png"/>
  <Override PartName="/word/media/rId21.png" ContentType="image/png"/>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p>
    <w:p>
      <w:pPr>
        <w:pStyle w:val="FirstParagraph"/>
      </w:pPr>
      <w:r>
        <w:rPr>
          <w:i/>
          <w:iCs/>
        </w:rPr>
        <w:t xml:space="preserve">Before reading this guide, it is recommended that you read [Guide: Introduction to limits], [Guide: Introduction to continuity] and [Guide: Properties of functions].</w:t>
      </w:r>
    </w:p>
    <w:bookmarkStart w:id="43"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t>d</m:t>
            </m:r>
            <m:r>
              <m:t>y</m:t>
            </m:r>
          </m:num>
          <m:den>
            <m: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Start w:id="20" w:name="gradients-of-a-graph"/>
    <w:p>
      <w:pPr>
        <w:pStyle w:val="Heading2"/>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w:t>
      </w:r>
    </w:p>
    <w:p>
      <w:pPr>
        <w:pStyle w:val="BodyText"/>
      </w:pPr>
      <w:r>
        <w:t xml:space="preserve">[FIGURE HERE]</w:t>
      </w:r>
    </w:p>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p>
      <w:pPr>
        <w:pStyle w:val="FirstParagraph"/>
      </w:pPr>
      <w:r>
        <w:t xml:space="preserve">[FIGURE HERE]</w:t>
      </w:r>
    </w:p>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20"/>
    <w:bookmarkStart w:id="33" w:name="derivatives-and-differentiation"/>
    <w:p>
      <w:pPr>
        <w:pStyle w:val="Heading2"/>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w:r>
              <w:t xml:space="preserve">$\dydx{y}{x} = f'(x)$</w:t>
            </w:r>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w:r>
              <w:t xml:space="preserve">$$\left.\dydx{y}{x}\right|_{x = a} = f'(a)$$</w:t>
            </w:r>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w:t>
            </w:r>
            <w:r>
              <w:t xml:space="preserve"> </w:t>
            </w:r>
            <w:r>
              <w:t xml:space="preserve">$\ds\dydx{y}{x}$</w:t>
            </w:r>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tc>
      </w:tr>
    </w:tbl>
    <w:p>
      <w:pPr>
        <w:pStyle w:val="BodyText"/>
      </w:pPr>
      <w:r>
        <w:t xml:space="preserve">This notation was used by</w:t>
      </w:r>
      <w:r>
        <w:t xml:space="preserve"> </w:t>
      </w:r>
      <w:hyperlink r:id="rId29">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w:r>
        <w:t xml:space="preserve">$$f'(a)\quad\textsf{ compared to }\quad \left.\dydx{y}{x}\right|_{x = a}.$$</w:t>
      </w:r>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w:r>
              <w:t xml:space="preserve">$\dydx{f}{x}$</w:t>
            </w:r>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There is one other thing that you should know before proceeding. What happens if you try and differentiate a function</w:t>
      </w:r>
      <w:r>
        <w:t xml:space="preserve"> </w:t>
      </w:r>
      <m:oMath>
        <m:r>
          <m:t>f</m:t>
        </m:r>
        <m:d>
          <m:dPr>
            <m:begChr m:val="("/>
            <m:endChr m:val=")"/>
            <m:sepChr m:val=""/>
            <m:grow/>
          </m:dPr>
          <m:e>
            <m:r>
              <m:t>x</m:t>
            </m:r>
          </m:e>
        </m:d>
      </m:oMath>
      <w:r>
        <w:t xml:space="preserve"> </w:t>
      </w:r>
      <w:r>
        <w:t xml:space="preserve">on the variable</w:t>
      </w:r>
      <w:r>
        <w:t xml:space="preserve"> </w:t>
      </w:r>
      <m:oMath>
        <m:r>
          <m:t>x</m:t>
        </m:r>
      </m:oMath>
      <w:r>
        <w:t xml:space="preserve"> </w:t>
      </w:r>
      <w:r>
        <w:t xml:space="preserve">with respect to a</w:t>
      </w:r>
      <w:r>
        <w:t xml:space="preserve"> </w:t>
      </w:r>
      <w:r>
        <w:rPr>
          <w:i/>
          <w:iCs/>
        </w:rPr>
        <w:t xml:space="preserve">different</w:t>
      </w:r>
      <w:r>
        <w:t xml:space="preserve"> </w:t>
      </w:r>
      <w:r>
        <w:t xml:space="preserve">variable</w:t>
      </w:r>
      <w:r>
        <w:t xml:space="preserve"> </w:t>
      </w:r>
      <m:oMath>
        <m:r>
          <m:t>t</m:t>
        </m:r>
      </m:oMath>
      <w:r>
        <w:t xml:space="preserve">? Well, as the derivative with respect to</w:t>
      </w:r>
      <w:r>
        <w:t xml:space="preserve"> </w:t>
      </w:r>
      <m:oMath>
        <m:r>
          <m:t>t</m:t>
        </m:r>
      </m:oMath>
      <w:r>
        <w:t xml:space="preserve"> </w:t>
      </w:r>
      <w:r>
        <w:t xml:space="preserve">measures the rate of change of a function with respect to</w:t>
      </w:r>
      <w:r>
        <w:t xml:space="preserve"> </w:t>
      </w:r>
      <m:oMath>
        <m:r>
          <m:t>t</m:t>
        </m:r>
      </m:oMath>
      <w:r>
        <w:t xml:space="preserve">, and since</w:t>
      </w:r>
      <w:r>
        <w:t xml:space="preserve"> </w:t>
      </w:r>
      <m:oMath>
        <m:r>
          <m:t>f</m:t>
        </m:r>
        <m:d>
          <m:dPr>
            <m:begChr m:val="("/>
            <m:endChr m:val=")"/>
            <m:sepChr m:val=""/>
            <m:grow/>
          </m:dPr>
          <m:e>
            <m:r>
              <m:t>x</m:t>
            </m:r>
          </m:e>
        </m:d>
      </m:oMath>
      <w:r>
        <w:t xml:space="preserve"> </w:t>
      </w:r>
      <w:r>
        <w:t xml:space="preserve">does not change as</w:t>
      </w:r>
      <w:r>
        <w:t xml:space="preserve"> </w:t>
      </w:r>
      <m:oMath>
        <m:r>
          <m:t>t</m:t>
        </m:r>
      </m:oMath>
      <w:r>
        <w:t xml:space="preserve"> </w:t>
      </w:r>
      <w:r>
        <w:t xml:space="preserve">changes, it follows that</w:t>
      </w:r>
    </w:p>
    <w:p>
      <w:pPr>
        <w:pStyle w:val="BodyText"/>
      </w:pPr>
      <w:r>
        <w:t xml:space="preserve">$$\ddx{t}\left(f(x)\right) = 0$$</w:t>
      </w:r>
    </w:p>
    <w:p>
      <w:pPr>
        <w:pStyle w:val="FirstParagraph"/>
      </w:pPr>
      <w:r>
        <w:t xml:space="preserve">So differentiating a function of some variable with respect to a different variable results in nothing. This is why it’s important to specify the variable you are differentiating with respect to, and it will be particularly important when it comes to differentiating functions of</w:t>
      </w:r>
      <w:r>
        <w:t xml:space="preserve"> </w:t>
      </w:r>
      <w:r>
        <w:rPr>
          <w:b/>
          <w:bCs/>
        </w:rPr>
        <w:t xml:space="preserve">more than one</w:t>
      </w:r>
      <w:r>
        <w:t xml:space="preserve"> </w:t>
      </w:r>
      <w:r>
        <w:t xml:space="preserve">variable: see [Guide: Introduction to partial differentiation].</w:t>
      </w:r>
    </w:p>
    <w:bookmarkEnd w:id="33"/>
    <w:bookmarkStart w:id="42" w:name="differentiating-well-known-functions"/>
    <w:p>
      <w:pPr>
        <w:pStyle w:val="Heading2"/>
      </w:pPr>
      <w:r>
        <w:t xml:space="preserve">Differentiating well 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1"/>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1"/>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p>
            <w:pPr>
              <w:numPr>
                <w:ilvl w:val="0"/>
                <w:numId w:val="1001"/>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1"/>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1"/>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All of these results are explained in [Proof sheet: Derivatives of functions from first principles].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42"/>
    <w:bookmarkEnd w:id="43"/>
    <w:bookmarkStart w:id="46"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2"/>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2"/>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44">
        <w:r>
          <w:rPr>
            <w:rStyle w:val="Hyperlink"/>
          </w:rPr>
          <w:t xml:space="preserve">Guide: Completing the square</w:t>
        </w:r>
      </w:hyperlink>
      <w:r>
        <w:t xml:space="preserve"> </w:t>
      </w:r>
      <w:r>
        <w:t xml:space="preserve">for more.</w:t>
      </w:r>
    </w:p>
    <w:p>
      <w:pPr>
        <w:numPr>
          <w:ilvl w:val="0"/>
          <w:numId w:val="1002"/>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45">
        <w:r>
          <w:rPr>
            <w:rStyle w:val="Hyperlink"/>
          </w:rPr>
          <w:t xml:space="preserve">Guide: Using the quadratic formula</w:t>
        </w:r>
      </w:hyperlink>
      <w:r>
        <w:t xml:space="preserve"> </w:t>
      </w:r>
      <w:r>
        <w:t xml:space="preserve">for more.</w:t>
      </w:r>
    </w:p>
    <w:bookmarkEnd w:id="46"/>
    <w:bookmarkStart w:id="72"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1</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52" w:name="fig-2"/>
          <w:p>
            <w:pPr>
              <w:pStyle w:val="Compact"/>
              <w:jc w:val="center"/>
            </w:pPr>
            <w:r>
              <w:drawing>
                <wp:inline>
                  <wp:extent cx="5755521" cy="2238597"/>
                  <wp:effectExtent b="0" l="0" r="0" t="0"/>
                  <wp:docPr descr="" title="" id="50" name="Picture"/>
                  <a:graphic>
                    <a:graphicData uri="http://schemas.openxmlformats.org/drawingml/2006/picture">
                      <pic:pic>
                        <pic:nvPicPr>
                          <pic:cNvPr descr="./FiguresPNG/introtoquadratics-fig2-2.png" id="51" name="Picture"/>
                          <pic:cNvPicPr>
                            <a:picLocks noChangeArrowheads="1" noChangeAspect="1"/>
                          </pic:cNvPicPr>
                        </pic:nvPicPr>
                        <pic:blipFill>
                          <a:blip r:embed="rId4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52"/>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2</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56" w:name="fig-3"/>
          <w:p>
            <w:pPr>
              <w:pStyle w:val="Compact"/>
              <w:jc w:val="center"/>
            </w:pPr>
            <w:r>
              <w:drawing>
                <wp:inline>
                  <wp:extent cx="5755521" cy="2238597"/>
                  <wp:effectExtent b="0" l="0" r="0" t="0"/>
                  <wp:docPr descr="" title="" id="54" name="Picture"/>
                  <a:graphic>
                    <a:graphicData uri="http://schemas.openxmlformats.org/drawingml/2006/picture">
                      <pic:pic>
                        <pic:nvPicPr>
                          <pic:cNvPr descr="./FiguresPNG/introtoquadratics-fig3-3.png" id="55" name="Picture"/>
                          <pic:cNvPicPr>
                            <a:picLocks noChangeArrowheads="1" noChangeAspect="1"/>
                          </pic:cNvPicPr>
                        </pic:nvPicPr>
                        <pic:blipFill>
                          <a:blip r:embed="rId5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56"/>
        </w:tc>
      </w:tr>
    </w:tbl>
    <w:p>
      <w:pPr>
        <w:pStyle w:val="Compact"/>
        <w:numPr>
          <w:ilvl w:val="0"/>
          <w:numId w:val="1005"/>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57">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3</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61" w:name="fig-4"/>
          <w:p>
            <w:pPr>
              <w:pStyle w:val="Compact"/>
              <w:jc w:val="center"/>
            </w:pPr>
            <w:r>
              <w:drawing>
                <wp:inline>
                  <wp:extent cx="5755521" cy="2238597"/>
                  <wp:effectExtent b="0" l="0" r="0" t="0"/>
                  <wp:docPr descr="" title="" id="59" name="Picture"/>
                  <a:graphic>
                    <a:graphicData uri="http://schemas.openxmlformats.org/drawingml/2006/picture">
                      <pic:pic>
                        <pic:nvPicPr>
                          <pic:cNvPr descr="./FiguresPNG/introtoquadratics-fig4-4.png" id="60" name="Picture"/>
                          <pic:cNvPicPr>
                            <a:picLocks noChangeArrowheads="1" noChangeAspect="1"/>
                          </pic:cNvPicPr>
                        </pic:nvPicPr>
                        <pic:blipFill>
                          <a:blip r:embed="rId58"/>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6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warning.png" id="6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72"/>
    <w:bookmarkStart w:id="73" w:name="quick-check-problems"/>
    <w:p>
      <w:pPr>
        <w:pStyle w:val="Heading1"/>
      </w:pPr>
      <w:r>
        <w:t xml:space="preserve">Quick check problems</w:t>
      </w:r>
    </w:p>
    <w:p>
      <w:pPr>
        <w:numPr>
          <w:ilvl w:val="0"/>
          <w:numId w:val="1006"/>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6"/>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6"/>
        </w:numPr>
      </w:pPr>
      <w:r>
        <w:t xml:space="preserve">You are given three statements below. Decide whether they are true or false.</w:t>
      </w:r>
    </w:p>
    <w:p>
      <w:pPr>
        <w:numPr>
          <w:ilvl w:val="0"/>
          <w:numId w:val="1007"/>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7"/>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7"/>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73"/>
    <w:bookmarkStart w:id="77" w:name="further-reading"/>
    <w:p>
      <w:pPr>
        <w:pStyle w:val="Heading1"/>
      </w:pPr>
      <w:r>
        <w:t xml:space="preserve">Further reading</w:t>
      </w:r>
    </w:p>
    <w:p>
      <w:pPr>
        <w:pStyle w:val="FirstParagraph"/>
      </w:pPr>
      <w:hyperlink r:id="rId74">
        <w:r>
          <w:rPr>
            <w:rStyle w:val="Hyperlink"/>
          </w:rPr>
          <w:t xml:space="preserve">For more questions on the subject, please go to Questions: Introduction to quadratic equations.</w:t>
        </w:r>
      </w:hyperlink>
    </w:p>
    <w:p>
      <w:pPr>
        <w:pStyle w:val="BodyText"/>
      </w:pPr>
      <w:hyperlink r:id="rId45">
        <w:r>
          <w:rPr>
            <w:rStyle w:val="Hyperlink"/>
          </w:rPr>
          <w:t xml:space="preserve">For a way to solve quadratic equations, please see Guide: Using the quadratic formula.</w:t>
        </w:r>
      </w:hyperlink>
    </w:p>
    <w:bookmarkStart w:id="76" w:name="version-history"/>
    <w:p>
      <w:pPr>
        <w:pStyle w:val="Heading2"/>
      </w:pPr>
      <w:r>
        <w:t xml:space="preserve">Version history</w:t>
      </w:r>
    </w:p>
    <w:p>
      <w:pPr>
        <w:pStyle w:val="FirstParagraph"/>
      </w:pPr>
      <w:r>
        <w:t xml:space="preserve">v1.0: initial version created 11/24 by tdhc.</w:t>
      </w:r>
    </w:p>
    <w:p>
      <w:pPr>
        <w:pStyle w:val="BodyText"/>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74" Target="../questions/qs-introtoquadratics.qmd" TargetMode="External" /><Relationship Type="http://schemas.openxmlformats.org/officeDocument/2006/relationships/hyperlink" Id="rId44" Target="completingthesquare.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9" Target="https://mathshistory.st-andrews.ac.uk/Biographies/Leibniz/" TargetMode="External" /><Relationship Type="http://schemas.openxmlformats.org/officeDocument/2006/relationships/hyperlink" Id="rId57" Target="introtocomplexnumbers.qmd" TargetMode="External" /><Relationship Type="http://schemas.openxmlformats.org/officeDocument/2006/relationships/hyperlink" Id="rId45"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introtoquadratics.qmd" TargetMode="External" /><Relationship Type="http://schemas.openxmlformats.org/officeDocument/2006/relationships/hyperlink" Id="rId44" Target="completingthesquare.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9" Target="https://mathshistory.st-andrews.ac.uk/Biographies/Leibniz/" TargetMode="External" /><Relationship Type="http://schemas.openxmlformats.org/officeDocument/2006/relationships/hyperlink" Id="rId57" Target="introtocomplexnumbers.qmd" TargetMode="External" /><Relationship Type="http://schemas.openxmlformats.org/officeDocument/2006/relationships/hyperlink" Id="rId45"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2025-02-13T12:54:31Z</dcterms:created>
  <dcterms:modified xsi:type="dcterms:W3CDTF">2025-02-13T12:54:31Z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