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73.png" ContentType="image/png"/>
  <Override PartName="/word/media/rId49.png" ContentType="image/png"/>
  <Override PartName="/word/media/rId32.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6"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Although the functions in this guide are defined in terms of the variable</w:t>
            </w:r>
            <w:r>
              <w:t xml:space="preserve"> </w:t>
            </w:r>
            <m:oMath>
              <m:r>
                <m:t>x</m:t>
              </m:r>
            </m:oMath>
            <w:r>
              <w:t xml:space="preserve">, you can express and differentiate functions with respect to any variable. This explains the terminology</w:t>
            </w:r>
            <w:r>
              <w:t xml:space="preserve"> </w:t>
            </w:r>
            <w:r>
              <w:t xml:space="preserve">‘</w:t>
            </w:r>
            <w:r>
              <w:t xml:space="preserve">with respect to</w:t>
            </w:r>
            <w:r>
              <w:t xml:space="preserve"> </w:t>
            </w:r>
            <m:oMath>
              <m:r>
                <m:t>x</m:t>
              </m:r>
            </m:oMath>
            <w:r>
              <w:t xml:space="preserve">’</w:t>
            </w:r>
            <w:r>
              <w:t xml:space="preserve">; as this can change depending on the variable. For instance, if you are differentiating</w:t>
            </w:r>
            <w:r>
              <w:t xml:space="preserve"> </w:t>
            </w:r>
            <m:oMath>
              <m:r>
                <m:t>z</m:t>
              </m:r>
              <m:r>
                <m:rPr>
                  <m:sty m:val="p"/>
                </m:rPr>
                <m:t>=</m:t>
              </m:r>
              <m:r>
                <m:t>f</m:t>
              </m:r>
              <m:d>
                <m:dPr>
                  <m:begChr m:val="("/>
                  <m:endChr m:val=")"/>
                  <m:sepChr m:val=""/>
                  <m:grow/>
                </m:dPr>
                <m:e>
                  <m:r>
                    <m:t>t</m:t>
                  </m:r>
                </m:e>
              </m:d>
            </m:oMath>
            <w:r>
              <w:t xml:space="preserve">, you would say</w:t>
            </w:r>
            <w:r>
              <w:t xml:space="preserve"> </w:t>
            </w:r>
            <w:r>
              <w:t xml:space="preserve">‘</w:t>
            </w:r>
            <w:r>
              <w:t xml:space="preserve">with respect to</w:t>
            </w:r>
            <w:r>
              <w:t xml:space="preserve"> </w:t>
            </w:r>
            <m:oMath>
              <m:r>
                <m:t>t</m:t>
              </m:r>
            </m:oMath>
            <w:r>
              <w:t xml:space="preserve">’</w:t>
            </w:r>
            <w:r>
              <w:t xml:space="preserve">, and you could write</w:t>
            </w:r>
          </w:p>
          <w:p>
            <w:pPr>
              <w:pStyle w:val="BodyText"/>
            </w:pPr>
            <m:oMathPara>
              <m:oMathParaPr>
                <m:jc m:val="center"/>
              </m:oMathParaPr>
              <m:oMath>
                <m:r>
                  <m:t>f</m:t>
                </m:r>
                <m:r>
                  <m:rPr>
                    <m:sty m:val="p"/>
                  </m:rPr>
                  <m:t>′</m:t>
                </m:r>
                <m:d>
                  <m:dPr>
                    <m:begChr m:val="("/>
                    <m:endChr m:val=")"/>
                    <m:sepChr m:val=""/>
                    <m:grow/>
                  </m:dPr>
                  <m:e>
                    <m:r>
                      <m:t>t</m:t>
                    </m:r>
                  </m:e>
                </m:d>
                <m:r>
                  <m:rPr>
                    <m:sty m:val="p"/>
                  </m:rPr>
                  <m:t>=</m:t>
                </m:r>
                <m:f>
                  <m:fPr>
                    <m:type m:val="bar"/>
                  </m:fPr>
                  <m:num>
                    <m:r>
                      <m:rPr>
                        <m:sty m:val="p"/>
                      </m:rPr>
                      <m:t>d</m:t>
                    </m:r>
                    <m:r>
                      <m:t>z</m:t>
                    </m:r>
                  </m:num>
                  <m:den>
                    <m:r>
                      <m:rPr>
                        <m:sty m:val="p"/>
                      </m:rPr>
                      <m:t>d</m:t>
                    </m:r>
                    <m:r>
                      <m:t>t</m:t>
                    </m:r>
                  </m:den>
                </m:f>
              </m:oMath>
            </m:oMathPara>
          </w:p>
          <w:p>
            <w:pPr>
              <w:pStyle w:val="FirstParagraph"/>
            </w:pPr>
            <w:r>
              <w:t xml:space="preserve">in this instance. Any combination of variables is acceptable; you may see</w:t>
            </w:r>
            <w:r>
              <w:t xml:space="preserve"> </w:t>
            </w:r>
            <m:oMath>
              <m:r>
                <m:t>x</m:t>
              </m:r>
              <m:r>
                <m:rPr>
                  <m:sty m:val="p"/>
                </m:rPr>
                <m:t>,</m:t>
              </m:r>
              <m:r>
                <m:t>y</m:t>
              </m:r>
              <m:r>
                <m:rPr>
                  <m:sty m:val="p"/>
                </m:rPr>
                <m:t>,</m:t>
              </m:r>
              <m:r>
                <m:t>z</m:t>
              </m:r>
              <m:r>
                <m:rPr>
                  <m:sty m:val="p"/>
                </m:rPr>
                <m:t>,</m:t>
              </m:r>
              <m:r>
                <m:t>t</m:t>
              </m:r>
              <m:r>
                <m:rPr>
                  <m:sty m:val="p"/>
                </m:rPr>
                <m:t>,</m:t>
              </m:r>
              <m:r>
                <m:t>u</m:t>
              </m:r>
              <m:r>
                <m:rPr>
                  <m:sty m:val="p"/>
                </m:rPr>
                <m:t>,</m:t>
              </m:r>
              <m:r>
                <m:t>w</m:t>
              </m:r>
              <m:r>
                <m:rPr>
                  <m:sty m:val="p"/>
                </m:rPr>
                <m:t>,</m:t>
              </m:r>
              <m:r>
                <m:t>v</m:t>
              </m:r>
            </m:oMath>
            <w:r>
              <w:t xml:space="preserve"> </w:t>
            </w:r>
            <w:r>
              <w:t xml:space="preserve">commonly, and maybe even Greek letters such as</w:t>
            </w:r>
            <w:r>
              <w:t xml:space="preserve"> </w:t>
            </w:r>
            <m:oMath>
              <m:r>
                <m:t>ω</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p>
            <w:pPr>
              <w:pStyle w:val="BodyText"/>
            </w:pPr>
            <w:r>
              <w:t xml:space="preserve">What</w:t>
            </w:r>
            <w:r>
              <w:t xml:space="preserve"> </w:t>
            </w:r>
            <m:oMath>
              <m:f>
                <m:fPr>
                  <m:type m:val="bar"/>
                </m:fPr>
                <m:num>
                  <m:r>
                    <m:rPr>
                      <m:sty m:val="p"/>
                    </m:rPr>
                    <m:t>d</m:t>
                  </m:r>
                  <m:r>
                    <m:t>y</m:t>
                  </m:r>
                </m:num>
                <m:den>
                  <m:r>
                    <m:rPr>
                      <m:sty m:val="p"/>
                    </m:rPr>
                    <m:t>d</m:t>
                  </m:r>
                  <m:r>
                    <m:t>x</m:t>
                  </m:r>
                </m:den>
              </m:f>
            </m:oMath>
            <w:r>
              <w:t xml:space="preserve"> </w:t>
            </w:r>
            <w:r>
              <w:t xml:space="preserve">really represents is the application of an</w:t>
            </w:r>
            <w:r>
              <w:t xml:space="preserve"> </w:t>
            </w:r>
            <w:r>
              <w:rPr>
                <w:b/>
                <w:bCs/>
              </w:rPr>
              <w:t xml:space="preserve">operator</w:t>
            </w:r>
            <w:r>
              <w:t xml:space="preserve">, specifically</w:t>
            </w:r>
            <w:r>
              <w:t xml:space="preserve"> </w:t>
            </w:r>
            <m:oMath>
              <m:f>
                <m:fPr>
                  <m:type m:val="bar"/>
                </m:fPr>
                <m:num>
                  <m:r>
                    <m:rPr>
                      <m:sty m:val="p"/>
                    </m:rPr>
                    <m:t>d</m:t>
                  </m:r>
                </m:num>
                <m:den>
                  <m:r>
                    <m:rPr>
                      <m:sty m:val="p"/>
                    </m:rPr>
                    <m:t>d</m:t>
                  </m:r>
                  <m:r>
                    <m:t>x</m:t>
                  </m:r>
                </m:den>
              </m:f>
            </m:oMath>
            <w:r>
              <w:t xml:space="preserve">, to a function</w:t>
            </w:r>
            <w:r>
              <w:t xml:space="preserve"> </w:t>
            </w:r>
            <m:oMath>
              <m:r>
                <m:t>y</m:t>
              </m:r>
              <m:r>
                <m:rPr>
                  <m:sty m:val="p"/>
                </m:rPr>
                <m:t>=</m:t>
              </m:r>
              <m:r>
                <m:t>f</m:t>
              </m:r>
              <m:d>
                <m:dPr>
                  <m:begChr m:val="("/>
                  <m:endChr m:val=")"/>
                  <m:sepChr m:val=""/>
                  <m:grow/>
                </m:dPr>
                <m:e>
                  <m:r>
                    <m:t>x</m:t>
                  </m:r>
                </m:e>
              </m:d>
            </m:oMath>
            <w:r>
              <w:t xml:space="preserve">. It is correct to write the following:</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f</m:t>
                    </m:r>
                    <m:d>
                      <m:dPr>
                        <m:begChr m:val="("/>
                        <m:endChr m:val=")"/>
                        <m:sepChr m:val=""/>
                        <m:grow/>
                      </m:dPr>
                      <m:e>
                        <m:r>
                          <m:t>x</m:t>
                        </m:r>
                      </m:e>
                    </m:d>
                  </m:e>
                </m:d>
                <m:r>
                  <m:rPr>
                    <m:sty m:val="p"/>
                  </m:rPr>
                  <m:t>=</m:t>
                </m:r>
                <m:f>
                  <m:fPr>
                    <m:type m:val="bar"/>
                  </m:fPr>
                  <m:num>
                    <m:r>
                      <m:rPr>
                        <m:sty m:val="p"/>
                      </m:rPr>
                      <m:t>d</m:t>
                    </m:r>
                    <m:r>
                      <m:t>y</m:t>
                    </m:r>
                  </m:num>
                  <m:den>
                    <m:r>
                      <m:rPr>
                        <m:sty m:val="p"/>
                      </m:rPr>
                      <m:t>d</m:t>
                    </m:r>
                    <m:r>
                      <m:t>x</m:t>
                    </m:r>
                  </m:den>
                </m:f>
              </m:oMath>
            </m:oMathPara>
          </w:p>
          <w:p>
            <w:pPr>
              <w:pStyle w:val="FirstParagraph"/>
            </w:pPr>
            <w:pPr>
              <w:spacing w:after="16"/>
            </w:pPr>
            <w:r>
              <w:t xml:space="preserve">For more about this, see [Guide: The differential operator and higher derivatives].</w:t>
            </w:r>
          </w:p>
        </w:tc>
      </w:tr>
    </w:tbl>
    <w:p>
      <w:pPr>
        <w:pStyle w:val="BodyText"/>
      </w:pPr>
      <w:r>
        <w:t xml:space="preserve">The</w:t>
      </w:r>
      <w:r>
        <w:t xml:space="preserve"> </w:t>
      </w:r>
      <m:oMath>
        <m:f>
          <m:fPr>
            <m:type m:val="bar"/>
          </m:fPr>
          <m:num>
            <m:r>
              <m:rPr>
                <m:sty m:val="p"/>
              </m:rPr>
              <m:t>d</m:t>
            </m:r>
            <m:r>
              <m:t>y</m:t>
            </m:r>
          </m:num>
          <m:den>
            <m:r>
              <m:rPr>
                <m:sty m:val="p"/>
              </m:rPr>
              <m:t>d</m:t>
            </m:r>
            <m:r>
              <m:t>x</m:t>
            </m:r>
          </m:den>
        </m:f>
      </m:oMath>
      <w:r>
        <w:t xml:space="preserve"> </w:t>
      </w:r>
      <w:r>
        <w:t xml:space="preserve">notation was used by</w:t>
      </w:r>
      <w:r>
        <w:t xml:space="preserve"> </w:t>
      </w:r>
      <w:hyperlink r:id="rId43">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6"/>
    <w:bookmarkStart w:id="79"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2">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r>
              <w:t xml:space="preserve"> </w:t>
            </w:r>
            <m:oMath>
              <m:d>
                <m:dPr>
                  <m:begChr m:val="("/>
                  <m:endChr m:val=")"/>
                  <m:sepChr m:val=""/>
                  <m:grow/>
                </m:dPr>
                <m:e>
                  <m:r>
                    <m:t>f</m:t>
                  </m:r>
                  <m:r>
                    <m:rPr>
                      <m:sty m:val="p"/>
                    </m:rPr>
                    <m:t>−</m:t>
                  </m:r>
                  <m:r>
                    <m:t>g</m:t>
                  </m:r>
                </m:e>
              </m:d>
              <m:r>
                <m:rPr>
                  <m:sty m:val="p"/>
                </m:rPr>
                <m:t>′</m:t>
              </m:r>
              <m:d>
                <m:dPr>
                  <m:begChr m:val="("/>
                  <m:endChr m:val=")"/>
                  <m:sepChr m:val=""/>
                  <m:grow/>
                </m:dPr>
                <m:e>
                  <m:r>
                    <m:t>x</m:t>
                  </m:r>
                </m:e>
              </m:d>
              <m:r>
                <m:rPr>
                  <m:sty m:val="p"/>
                </m:rPr>
                <m:t>=</m:t>
              </m:r>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r>
              <w:t xml:space="preserve"> </w:t>
            </w:r>
            <m:oMath>
              <m:d>
                <m:dPr>
                  <m:begChr m:val="("/>
                  <m:endChr m:val=")"/>
                  <m:sepChr m:val=""/>
                  <m:grow/>
                </m:dPr>
                <m:e>
                  <m:r>
                    <m:t>c</m:t>
                  </m:r>
                  <m:r>
                    <m:t>f</m:t>
                  </m:r>
                </m:e>
              </m:d>
              <m:r>
                <m:rPr>
                  <m:sty m:val="p"/>
                </m:rPr>
                <m:t>′</m:t>
              </m:r>
              <m:d>
                <m:dPr>
                  <m:begChr m:val="("/>
                  <m:endChr m:val=")"/>
                  <m:sepChr m:val=""/>
                  <m:grow/>
                </m:dPr>
                <m:e>
                  <m:r>
                    <m:t>x</m:t>
                  </m:r>
                </m:e>
              </m:d>
              <m:r>
                <m:rPr>
                  <m:sty m:val="p"/>
                </m:rPr>
                <m:t>=</m:t>
              </m:r>
              <m:r>
                <m:t>c</m:t>
              </m:r>
              <m:r>
                <m:t>f</m:t>
              </m:r>
              <m:r>
                <m:rPr>
                  <m:sty m:val="p"/>
                </m:rPr>
                <m:t>′</m:t>
              </m:r>
              <m:d>
                <m:dPr>
                  <m:begChr m:val="("/>
                  <m:endChr m:val=")"/>
                  <m:sepChr m:val=""/>
                  <m:grow/>
                </m:dPr>
                <m:e>
                  <m:r>
                    <m:t>x</m:t>
                  </m:r>
                </m:e>
              </m:d>
            </m:oMath>
            <w:r>
              <w:t xml:space="preserve"> </w:t>
            </w:r>
            <w:r>
              <w:t xml:space="preserve">or</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w:t>
            </w:r>
            <w:r>
              <w:t xml:space="preserve"> </w:t>
            </w:r>
            <w:hyperlink r:id="rId59">
              <w:r>
                <w:rPr>
                  <w:rStyle w:val="Hyperlink"/>
                </w:rPr>
                <w:t xml:space="preserve">Guide: The chain rule</w:t>
              </w:r>
            </w:hyperlink>
            <w:r>
              <w:t xml:space="preserve">. For more on where these results come from, see</w:t>
            </w:r>
            <w:r>
              <w:t xml:space="preserve"> </w:t>
            </w:r>
            <w:hyperlink r:id="rId60">
              <w:r>
                <w:rPr>
                  <w:rStyle w:val="Hyperlink"/>
                </w:rPr>
                <w:t xml:space="preserve">Proof sheet: Rules of differentiation.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tip.png" id="6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sum rule and scaling rule says that</w:t>
            </w:r>
            <w:r>
              <w:t xml:space="preserve"> </w:t>
            </w:r>
            <m:oMath>
              <m:f>
                <m:fPr>
                  <m:type m:val="bar"/>
                </m:fPr>
                <m:num>
                  <m:r>
                    <m:rPr>
                      <m:sty m:val="p"/>
                    </m:rPr>
                    <m:t>d</m:t>
                  </m:r>
                </m:num>
                <m:den>
                  <m:r>
                    <m:rPr>
                      <m:sty m:val="p"/>
                    </m:rPr>
                    <m:t>d</m:t>
                  </m:r>
                  <m:r>
                    <m:t>x</m:t>
                  </m:r>
                </m:den>
              </m:f>
            </m:oMath>
            <w:r>
              <w:t xml:space="preserve"> </w:t>
            </w:r>
            <w:r>
              <w:t xml:space="preserve">is a</w:t>
            </w:r>
            <w:r>
              <w:t xml:space="preserve"> </w:t>
            </w:r>
            <w:r>
              <w:rPr>
                <w:b/>
                <w:bCs/>
              </w:rPr>
              <w:t xml:space="preserve">linear operator</w:t>
            </w:r>
            <w:r>
              <w:t xml:space="preserve">; see [Guide: The differential operator and higher derivatives] for more.</w:t>
            </w:r>
          </w:p>
        </w:tc>
      </w:tr>
    </w:tbl>
    <w:p>
      <w:pPr>
        <w:pStyle w:val="BodyText"/>
      </w:pPr>
      <w:r>
        <w:t xml:space="preserve">Specifically, using the scaling and chain rule (see</w:t>
      </w:r>
      <w:r>
        <w:t xml:space="preserve"> </w:t>
      </w:r>
      <w:hyperlink r:id="rId59">
        <w:r>
          <w:rPr>
            <w:rStyle w:val="Hyperlink"/>
          </w:rPr>
          <w:t xml:space="preserve">Guide: The chain rule</w:t>
        </w:r>
      </w:hyperlink>
      <w:r>
        <w:t xml:space="preserv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77"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 </w:t>
            </w:r>
            <w:r>
              <w:t xml:space="preserve">with respect to</w:t>
            </w:r>
            <w:r>
              <w:t xml:space="preserve"> </w:t>
            </w:r>
            <m:oMath>
              <m:r>
                <m:t>x</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Differentiate</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 </w:t>
            </w:r>
            <w:r>
              <w:t xml:space="preserve">with respect to</w:t>
            </w:r>
            <w:r>
              <w:t xml:space="preserve"> </w:t>
            </w:r>
            <m:oMath>
              <m:r>
                <m:t>x</m:t>
              </m:r>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t</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t</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t</m:t>
                    </m:r>
                  </m:e>
                </m:d>
                <m:r>
                  <m:rPr>
                    <m:sty m:val="p"/>
                  </m:rPr>
                  <m:t>=</m:t>
                </m:r>
                <m:sSup>
                  <m:e>
                    <m:r>
                      <m:t>t</m:t>
                    </m:r>
                  </m:e>
                  <m:sup>
                    <m:r>
                      <m:rPr>
                        <m:sty m:val="p"/>
                      </m:rPr>
                      <m:t>−</m:t>
                    </m:r>
                    <m:r>
                      <m:t>4</m:t>
                    </m:r>
                  </m:sup>
                </m:sSup>
                <m:r>
                  <m:rPr>
                    <m:sty m:val="p"/>
                  </m:rPr>
                  <m:t>+</m:t>
                </m:r>
                <m:r>
                  <m:t>4</m:t>
                </m:r>
                <m:r>
                  <m:rPr>
                    <m:sty m:val="p"/>
                  </m:rPr>
                  <m:t>sin</m:t>
                </m:r>
                <m:d>
                  <m:dPr>
                    <m:begChr m:val="("/>
                    <m:endChr m:val=")"/>
                    <m:sepChr m:val=""/>
                    <m:grow/>
                  </m:dPr>
                  <m:e>
                    <m:r>
                      <m:t>t</m:t>
                    </m:r>
                  </m:e>
                </m:d>
                <m:r>
                  <m:rPr>
                    <m:sty m:val="p"/>
                  </m:rPr>
                  <m:t>−</m:t>
                </m:r>
                <m:r>
                  <m:rPr>
                    <m:sty m:val="p"/>
                  </m:rPr>
                  <m:t>cos</m:t>
                </m:r>
                <m:d>
                  <m:dPr>
                    <m:begChr m:val="("/>
                    <m:endChr m:val=")"/>
                    <m:sepChr m:val=""/>
                    <m:grow/>
                  </m:dPr>
                  <m:e>
                    <m:r>
                      <m:t>4</m:t>
                    </m:r>
                    <m:r>
                      <m:t>t</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t</m:t>
                  </m:r>
                </m:e>
                <m:sup>
                  <m:r>
                    <m:rPr>
                      <m:sty m:val="p"/>
                    </m:rPr>
                    <m:t>−</m:t>
                  </m:r>
                  <m:r>
                    <m:t>4</m:t>
                  </m:r>
                </m:sup>
              </m:sSup>
            </m:oMath>
            <w:r>
              <w:t xml:space="preserve"> </w:t>
            </w:r>
            <w:r>
              <w:t xml:space="preserve">is</w:t>
            </w:r>
            <w:r>
              <w:t xml:space="preserve"> </w:t>
            </w:r>
            <m:oMath>
              <m:r>
                <m:rPr>
                  <m:sty m:val="p"/>
                </m:rPr>
                <m:t>−</m:t>
              </m:r>
              <m:r>
                <m:t>4</m:t>
              </m:r>
              <m:sSup>
                <m:e>
                  <m:r>
                    <m:t>t</m:t>
                  </m:r>
                </m:e>
                <m:sup>
                  <m:r>
                    <m:rPr>
                      <m:sty m:val="p"/>
                    </m:rPr>
                    <m:t>−</m:t>
                  </m:r>
                  <m:r>
                    <m:t>4</m:t>
                  </m:r>
                  <m:r>
                    <m:rPr>
                      <m:sty m:val="p"/>
                    </m:rPr>
                    <m:t>−</m:t>
                  </m:r>
                  <m:r>
                    <m:t>1</m:t>
                  </m:r>
                </m:sup>
              </m:sSup>
              <m:r>
                <m:rPr>
                  <m:sty m:val="p"/>
                </m:rPr>
                <m:t>=</m:t>
              </m:r>
              <m:r>
                <m:rPr>
                  <m:sty m:val="p"/>
                </m:rPr>
                <m:t>−</m:t>
              </m:r>
              <m:r>
                <m:t>4</m:t>
              </m:r>
              <m:sSup>
                <m:e>
                  <m:r>
                    <m:t>t</m:t>
                  </m:r>
                </m:e>
                <m:sup>
                  <m:r>
                    <m:rPr>
                      <m:sty m:val="p"/>
                    </m:rPr>
                    <m:t>−</m:t>
                  </m:r>
                  <m:r>
                    <m:t>5</m:t>
                  </m:r>
                </m:sup>
              </m:sSup>
            </m:oMath>
            <w:r>
              <w:t xml:space="preserve">. The derivative of</w:t>
            </w:r>
            <w:r>
              <w:t xml:space="preserve"> </w:t>
            </w:r>
            <m:oMath>
              <m:r>
                <m:t>4</m:t>
              </m:r>
              <m:r>
                <m:rPr>
                  <m:sty m:val="p"/>
                </m:rPr>
                <m:t>sin</m:t>
              </m:r>
              <m:d>
                <m:dPr>
                  <m:begChr m:val="("/>
                  <m:endChr m:val=")"/>
                  <m:sepChr m:val=""/>
                  <m:grow/>
                </m:dPr>
                <m:e>
                  <m:r>
                    <m:t>t</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t</m:t>
                      </m:r>
                    </m:e>
                  </m:d>
                </m:e>
              </m:d>
              <m:r>
                <m:rPr>
                  <m:sty m:val="p"/>
                </m:rPr>
                <m:t>=</m:t>
              </m:r>
              <m:r>
                <m:t>4</m:t>
              </m:r>
              <m:r>
                <m:rPr>
                  <m:sty m:val="p"/>
                </m:rPr>
                <m:t>cos</m:t>
              </m:r>
              <m:d>
                <m:dPr>
                  <m:begChr m:val="("/>
                  <m:endChr m:val=")"/>
                  <m:sepChr m:val=""/>
                  <m:grow/>
                </m:dPr>
                <m:e>
                  <m:r>
                    <m:t>t</m:t>
                  </m:r>
                </m:e>
              </m:d>
            </m:oMath>
            <w:r>
              <w:t xml:space="preserve">. The derivative of</w:t>
            </w:r>
            <w:r>
              <w:t xml:space="preserve"> </w:t>
            </w:r>
            <m:oMath>
              <m:r>
                <m:rPr>
                  <m:sty m:val="p"/>
                </m:rPr>
                <m:t>cos</m:t>
              </m:r>
              <m:d>
                <m:dPr>
                  <m:begChr m:val="("/>
                  <m:endChr m:val=")"/>
                  <m:sepChr m:val=""/>
                  <m:grow/>
                </m:dPr>
                <m:e>
                  <m:r>
                    <m:t>4</m:t>
                  </m:r>
                  <m:r>
                    <m:t>t</m:t>
                  </m:r>
                </m:e>
              </m:d>
            </m:oMath>
            <w:r>
              <w:t xml:space="preserve"> </w:t>
            </w:r>
            <w:r>
              <w:t xml:space="preserve">is</w:t>
            </w:r>
            <w:r>
              <w:t xml:space="preserve"> </w:t>
            </w:r>
            <m:oMath>
              <m:r>
                <m:rPr>
                  <m:sty m:val="p"/>
                </m:rPr>
                <m:t>−</m:t>
              </m:r>
              <m:r>
                <m:t>4</m:t>
              </m:r>
              <m:r>
                <m:rPr>
                  <m:sty m:val="p"/>
                </m:rPr>
                <m:t>sin</m:t>
              </m:r>
              <m:d>
                <m:dPr>
                  <m:begChr m:val="("/>
                  <m:endChr m:val=")"/>
                  <m:sepChr m:val=""/>
                  <m:grow/>
                </m:dPr>
                <m:e>
                  <m:r>
                    <m:t>4</m:t>
                  </m:r>
                  <m:r>
                    <m:t>t</m:t>
                  </m:r>
                </m:e>
              </m:d>
            </m:oMath>
            <w:r>
              <w:t xml:space="preserve">. Taking care of your signs you can write the derivative of</w:t>
            </w:r>
            <w:r>
              <w:t xml:space="preserve"> </w:t>
            </w:r>
            <m:oMath>
              <m:f>
                <m:fPr>
                  <m:type m:val="bar"/>
                </m:fPr>
                <m:num>
                  <m:r>
                    <m:t>1</m:t>
                  </m:r>
                </m:num>
                <m:den>
                  <m:sSup>
                    <m:e>
                      <m:r>
                        <m:t>t</m:t>
                      </m:r>
                    </m:e>
                    <m:sup>
                      <m:r>
                        <m:t>4</m:t>
                      </m:r>
                    </m:sup>
                  </m:sSup>
                </m:den>
              </m:f>
              <m:r>
                <m:rPr>
                  <m:sty m:val="p"/>
                </m:rPr>
                <m:t>+</m:t>
              </m:r>
              <m:r>
                <m:t>4</m:t>
              </m:r>
              <m:r>
                <m:rPr>
                  <m:sty m:val="p"/>
                </m:rPr>
                <m:t>cos</m:t>
              </m:r>
              <m:d>
                <m:dPr>
                  <m:begChr m:val="("/>
                  <m:endChr m:val=")"/>
                  <m:sepChr m:val=""/>
                  <m:grow/>
                </m:dPr>
                <m:e>
                  <m:r>
                    <m:t>t</m:t>
                  </m:r>
                </m:e>
              </m:d>
              <m:r>
                <m:rPr>
                  <m:sty m:val="p"/>
                </m:rPr>
                <m:t>−</m:t>
              </m:r>
              <m:r>
                <m:rPr>
                  <m:sty m:val="p"/>
                </m:rPr>
                <m:t>sin</m:t>
              </m:r>
              <m:d>
                <m:dPr>
                  <m:begChr m:val="("/>
                  <m:endChr m:val=")"/>
                  <m:sepChr m:val=""/>
                  <m:grow/>
                </m:dPr>
                <m:e>
                  <m:r>
                    <m:t>4</m:t>
                  </m:r>
                  <m:r>
                    <m:t>t</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t</m:t>
                    </m:r>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d>
                  <m:dPr>
                    <m:begChr m:val="("/>
                    <m:endChr m:val=")"/>
                    <m:sepChr m:val=""/>
                    <m:grow/>
                  </m:dPr>
                  <m:e>
                    <m:r>
                      <m:rPr>
                        <m:sty m:val="p"/>
                      </m:rPr>
                      <m:t>−</m:t>
                    </m:r>
                    <m:r>
                      <m:t>4</m:t>
                    </m:r>
                    <m:r>
                      <m:rPr>
                        <m:sty m:val="p"/>
                      </m:rPr>
                      <m:t>sin</m:t>
                    </m:r>
                    <m:d>
                      <m:dPr>
                        <m:begChr m:val="("/>
                        <m:endChr m:val=")"/>
                        <m:sepChr m:val=""/>
                        <m:grow/>
                      </m:dPr>
                      <m:e>
                        <m:r>
                          <m:t>4</m:t>
                        </m:r>
                        <m:r>
                          <m:t>t</m:t>
                        </m:r>
                      </m:e>
                    </m:d>
                  </m:e>
                </m:d>
                <m:r>
                  <m:rPr>
                    <m:sty m:val="p"/>
                  </m:rPr>
                  <m:t>=</m:t>
                </m:r>
                <m:r>
                  <m:rPr>
                    <m:sty m:val="p"/>
                  </m:rPr>
                  <m:t>−</m:t>
                </m:r>
                <m:r>
                  <m:t>4</m:t>
                </m:r>
                <m:sSup>
                  <m:e>
                    <m:r>
                      <m:t>t</m:t>
                    </m:r>
                  </m:e>
                  <m:sup>
                    <m:r>
                      <m:rPr>
                        <m:sty m:val="p"/>
                      </m:rPr>
                      <m:t>−</m:t>
                    </m:r>
                    <m:r>
                      <m:t>5</m:t>
                    </m:r>
                  </m:sup>
                </m:sSup>
                <m:r>
                  <m:rPr>
                    <m:sty m:val="p"/>
                  </m:rPr>
                  <m:t>+</m:t>
                </m:r>
                <m:r>
                  <m:t>4</m:t>
                </m:r>
                <m:r>
                  <m:rPr>
                    <m:sty m:val="p"/>
                  </m:rPr>
                  <m:t>cos</m:t>
                </m:r>
                <m:d>
                  <m:dPr>
                    <m:begChr m:val="("/>
                    <m:endChr m:val=")"/>
                    <m:sepChr m:val=""/>
                    <m:grow/>
                  </m:dPr>
                  <m:e>
                    <m:r>
                      <m:t>t</m:t>
                    </m:r>
                  </m:e>
                </m:d>
                <m:r>
                  <m:rPr>
                    <m:sty m:val="p"/>
                  </m:rPr>
                  <m:t>+</m:t>
                </m:r>
                <m:r>
                  <m:t>4</m:t>
                </m:r>
                <m:r>
                  <m:rPr>
                    <m:sty m:val="p"/>
                  </m:rPr>
                  <m:t>sin</m:t>
                </m:r>
                <m:d>
                  <m:dPr>
                    <m:begChr m:val="("/>
                    <m:endChr m:val=")"/>
                    <m:sepChr m:val=""/>
                    <m:grow/>
                  </m:dPr>
                  <m:e>
                    <m:r>
                      <m:t>4</m:t>
                    </m:r>
                    <m:r>
                      <m:t>t</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76" w:name="fig-3"/>
          <w:p>
            <w:pPr>
              <w:pStyle w:val="Compact"/>
              <w:jc w:val="center"/>
            </w:pPr>
            <w:r>
              <w:drawing>
                <wp:inline>
                  <wp:extent cx="4754880" cy="3772070"/>
                  <wp:effectExtent b="0" l="0" r="0" t="0"/>
                  <wp:docPr descr="" title="" id="74" name="Picture"/>
                  <a:graphic>
                    <a:graphicData uri="http://schemas.openxmlformats.org/drawingml/2006/picture">
                      <pic:pic>
                        <pic:nvPicPr>
                          <pic:cNvPr descr="./FiguresPNG/introtodifferentiation-fig3-3.png" id="75" name="Picture"/>
                          <pic:cNvPicPr>
                            <a:picLocks noChangeArrowheads="1" noChangeAspect="1"/>
                          </pic:cNvPicPr>
                        </pic:nvPicPr>
                        <pic:blipFill>
                          <a:blip r:embed="rId7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76"/>
        </w:tc>
      </w:tr>
    </w:tbl>
    <w:p>
      <w:pPr>
        <w:pStyle w:val="BodyText"/>
      </w:pPr>
      <w:r>
        <w:t xml:space="preserve"> </w:t>
      </w:r>
    </w:p>
    <w:bookmarkEnd w:id="77"/>
    <w:bookmarkStart w:id="78"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8"/>
    <w:bookmarkEnd w:id="79"/>
    <w:bookmarkStart w:id="80"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80"/>
    <w:bookmarkStart w:id="84" w:name="further-reading"/>
    <w:p>
      <w:pPr>
        <w:pStyle w:val="Heading1"/>
      </w:pPr>
      <w:r>
        <w:t xml:space="preserve">Further reading</w:t>
      </w:r>
    </w:p>
    <w:p>
      <w:pPr>
        <w:pStyle w:val="FirstParagraph"/>
      </w:pPr>
      <w:hyperlink r:id="rId81">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w:t>
      </w:r>
      <w:r>
        <w:t xml:space="preserve"> </w:t>
      </w:r>
      <w:hyperlink r:id="rId57">
        <w:r>
          <w:rPr>
            <w:rStyle w:val="Hyperlink"/>
          </w:rPr>
          <w:t xml:space="preserve">Guide: The product rule</w:t>
        </w:r>
      </w:hyperlink>
      <w:r>
        <w:t xml:space="preserve">,</w:t>
      </w:r>
      <w:r>
        <w:t xml:space="preserve"> </w:t>
      </w:r>
      <w:hyperlink r:id="rId58">
        <w:r>
          <w:rPr>
            <w:rStyle w:val="Hyperlink"/>
          </w:rPr>
          <w:t xml:space="preserve">Guide: The quotient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the differential operator, and its application to finding derivatives of derivatives, please see [Guide: The differential operator and higher derivatives].</w:t>
      </w:r>
    </w:p>
    <w:p>
      <w:pPr>
        <w:pStyle w:val="BodyText"/>
      </w:pPr>
      <w:r>
        <w:t xml:space="preserve">For more about where the derivatives in the above table come from, please see</w:t>
      </w:r>
      <w:r>
        <w:t xml:space="preserve"> </w:t>
      </w:r>
      <w:hyperlink r:id="rId52">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w:t>
      </w:r>
      <w:r>
        <w:t xml:space="preserve"> </w:t>
      </w:r>
      <w:hyperlink r:id="rId60">
        <w:r>
          <w:rPr>
            <w:rStyle w:val="Hyperlink"/>
          </w:rPr>
          <w:t xml:space="preserve">Proof sheet: Rules of differentiation</w:t>
        </w:r>
      </w:hyperlink>
      <w:r>
        <w:t xml:space="preserve">.</w:t>
      </w:r>
    </w:p>
    <w:bookmarkStart w:id="83" w:name="version-history"/>
    <w:p>
      <w:pPr>
        <w:pStyle w:val="Heading2"/>
      </w:pPr>
      <w:r>
        <w:t xml:space="preserve">Version history</w:t>
      </w:r>
    </w:p>
    <w:p>
      <w:pPr>
        <w:pStyle w:val="FirstParagraph"/>
      </w:pPr>
      <w:r>
        <w:t xml:space="preserve">v1.0: initial version created 03/25 by tdhc.</w:t>
      </w:r>
    </w:p>
    <w:p>
      <w:pPr>
        <w:pStyle w:val="Compact"/>
        <w:numPr>
          <w:ilvl w:val="0"/>
          <w:numId w:val="1010"/>
        </w:numPr>
      </w:pPr>
      <w:r>
        <w:t xml:space="preserve">v1.1 updated version with section on differentiating with respect to different variables 05/25 by tdhc.</w:t>
      </w:r>
    </w:p>
    <w:p>
      <w:pPr>
        <w:pStyle w:val="FirstParagraph"/>
      </w:pPr>
      <w:hyperlink r:id="rId82">
        <w:r>
          <w:rPr>
            <w:rStyle w:val="Hyperlink"/>
          </w:rPr>
          <w:t xml:space="preserve">This work is licensed under CC BY-NC-SA 4.0.</w:t>
        </w:r>
      </w:hyperlink>
    </w:p>
    <w:bookmarkEnd w:id="83"/>
    <w:bookmarkEnd w:id="8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73" Target="media/rId73.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52" Target="../proofsheets/ps-introtodifferentiation.qmd" TargetMode="External" /><Relationship Type="http://schemas.openxmlformats.org/officeDocument/2006/relationships/hyperlink" Id="rId60" Target="../proofsheets/ps-rulesofdifferentiation.qmd" TargetMode="External" /><Relationship Type="http://schemas.openxmlformats.org/officeDocument/2006/relationships/hyperlink" Id="rId81" Target="../questions/qs-introtodifferentiation.qmd" TargetMode="External" /><Relationship Type="http://schemas.openxmlformats.org/officeDocument/2006/relationships/hyperlink" Id="rId59" Target="chainrule.qmd" TargetMode="External" /><Relationship Type="http://schemas.openxmlformats.org/officeDocument/2006/relationships/hyperlink" Id="rId82" Target="https://creativecommons.org/licenses/by-nc-sa/4.0/?ref=chooser-v1" TargetMode="External" /><Relationship Type="http://schemas.openxmlformats.org/officeDocument/2006/relationships/hyperlink" Id="rId43"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 Type="http://schemas.openxmlformats.org/officeDocument/2006/relationships/hyperlink" Id="rId57" Target="productrule.qmd" TargetMode="External" /><Relationship Type="http://schemas.openxmlformats.org/officeDocument/2006/relationships/hyperlink" Id="rId58"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2025-08-28T15:03:23Z</dcterms:created>
  <dcterms:modified xsi:type="dcterms:W3CDTF">2025-08-28T15:03:23Z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