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 as</w:t>
      </w:r>
      <w:r>
        <w:t xml:space="preserve"> </w:t>
      </w:r>
      <m:oMath>
        <m:r>
          <m:t>b</m:t>
        </m:r>
        <m:r>
          <m:rPr>
            <m:sty m:val="p"/>
          </m:rPr>
          <m:t>=</m:t>
        </m:r>
        <m:r>
          <m:t>d</m:t>
        </m:r>
        <m:r>
          <m:rPr>
            <m:sty m:val="p"/>
          </m:rPr>
          <m:t>+</m:t>
        </m:r>
        <m:r>
          <m:t>e</m:t>
        </m:r>
      </m:oMath>
      <w:r>
        <w:t xml:space="preserve"> </w:t>
      </w:r>
      <w:r>
        <w:t xml:space="preserve">and</w:t>
      </w:r>
      <w:r>
        <w:t xml:space="preserve"> </w:t>
      </w:r>
      <m:oMath>
        <m:r>
          <m:t>c</m:t>
        </m:r>
        <m:r>
          <m:rPr>
            <m:sty m:val="p"/>
          </m:rPr>
          <m:t>=</m:t>
        </m:r>
        <m:r>
          <m:t>d</m:t>
        </m:r>
        <m:r>
          <m:t>e</m:t>
        </m:r>
      </m:oMath>
      <w:r>
        <w:t xml:space="preserve">.</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required quadratic expression.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oMath>
      </m:oMathPara>
    </w:p>
    <w:p>
      <w:pPr>
        <w:pStyle w:val="FirstParagraph"/>
      </w:pPr>
      <w:r>
        <w:t xml:space="preserve">If you let</w:t>
      </w:r>
      <w:r>
        <w:t xml:space="preserve"> </w:t>
      </w:r>
      <m:oMath>
        <m:r>
          <m:t>d</m:t>
        </m:r>
        <m:r>
          <m:rPr>
            <m:sty m:val="p"/>
          </m:rPr>
          <m:t>⋅</m:t>
        </m:r>
        <m:r>
          <m:t>e</m:t>
        </m:r>
        <m:r>
          <m:rPr>
            <m:sty m:val="p"/>
          </m:rPr>
          <m:t>=</m:t>
        </m:r>
        <m:r>
          <m:t>a</m:t>
        </m:r>
        <m:r>
          <m:rPr>
            <m:sty m:val="p"/>
          </m:rPr>
          <m:t>⋅</m:t>
        </m:r>
        <m:r>
          <m:t>c</m:t>
        </m:r>
        <m:r>
          <m:rPr>
            <m:sty m:val="p"/>
          </m:rPr>
          <m:t>=</m:t>
        </m:r>
        <m:r>
          <m:t>f</m:t>
        </m:r>
      </m:oMath>
      <w:r>
        <w:t xml:space="preserve">, then</w:t>
      </w:r>
      <w:r>
        <w:t xml:space="preserve"> </w:t>
      </w:r>
      <m:oMath>
        <m:f>
          <m:fPr>
            <m:type m:val="bar"/>
          </m:fPr>
          <m:num>
            <m:r>
              <m:t>d</m:t>
            </m:r>
          </m:num>
          <m:den>
            <m:r>
              <m:t>a</m:t>
            </m:r>
          </m:den>
        </m:f>
        <m:r>
          <m:rPr>
            <m:sty m:val="p"/>
          </m:rPr>
          <m:t>=</m:t>
        </m:r>
        <m:f>
          <m:fPr>
            <m:type m:val="bar"/>
          </m:fPr>
          <m:num>
            <m:r>
              <m:t>c</m:t>
            </m:r>
          </m:num>
          <m:den>
            <m:r>
              <m:t>e</m:t>
            </m:r>
          </m:den>
        </m:f>
        <m:r>
          <m:rPr>
            <m:sty m:val="p"/>
          </m:rPr>
          <m:t>=</m:t>
        </m:r>
        <m:r>
          <m:t>f</m:t>
        </m:r>
      </m:oMath>
      <w:r>
        <w:t xml:space="preserve">, so you can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oMath>
      </m:oMathPara>
    </w:p>
    <w:p>
      <w:pPr>
        <w:pStyle w:val="FirstParagraph"/>
      </w:pPr>
      <w:r>
        <w:t xml:space="preserve">This means that both groups will share a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r</m:t>
                </m:r>
                <m:r>
                  <m:rPr>
                    <m:sty m:val="p"/>
                  </m:rPr>
                  <m:t>≠</m:t>
                </m:r>
                <m:r>
                  <m:t>0</m:t>
                </m:r>
              </m:oMath>
            </m:oMathPara>
          </w:p>
          <w:p>
            <w:pPr>
              <w:pStyle w:val="FirstParagraph"/>
            </w:pPr>
            <w:r>
              <w:t xml:space="preserve">However, if you factorize out</w:t>
            </w:r>
            <w:r>
              <w:t xml:space="preserve"> </w:t>
            </w:r>
            <m:oMath>
              <m:sSup>
                <m:e>
                  <m:r>
                    <m:t>r</m:t>
                  </m:r>
                </m:e>
                <m:sup>
                  <m:r>
                    <m:t>2</m:t>
                  </m:r>
                </m:sup>
              </m:sSup>
            </m:oMath>
            <w:r>
              <w:t xml:space="preserve">,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r>
                  <m:t> </m:t>
                </m:r>
                <m:r>
                  <m:rPr>
                    <m:nor/>
                    <m:sty m:val="p"/>
                    <m:scr m:val="sans-serif"/>
                  </m:rPr>
                  <m:t>, where</m:t>
                </m:r>
                <m:r>
                  <m:t> </m:t>
                </m:r>
                <m:r>
                  <m:t>a</m:t>
                </m:r>
                <m:r>
                  <m:rPr>
                    <m:sty m:val="p"/>
                  </m:rPr>
                  <m:t>=</m:t>
                </m:r>
                <m:f>
                  <m:fPr>
                    <m:type m:val="bar"/>
                  </m:fPr>
                  <m:num>
                    <m:r>
                      <m:t>p</m:t>
                    </m:r>
                  </m:num>
                  <m:den>
                    <m:r>
                      <m:t>r</m:t>
                    </m:r>
                  </m:den>
                </m:f>
                <m:r>
                  <m:rPr>
                    <m:nor/>
                    <m:sty m:val="p"/>
                    <m:scr m:val="sans-serif"/>
                  </m:rPr>
                  <m:t>,</m:t>
                </m:r>
                <m:r>
                  <m:t> </m:t>
                </m:r>
                <m:r>
                  <m:t>b</m:t>
                </m:r>
                <m:r>
                  <m:rPr>
                    <m:sty m:val="p"/>
                  </m:rPr>
                  <m:t>=</m:t>
                </m:r>
                <m:f>
                  <m:fPr>
                    <m:type m:val="bar"/>
                  </m:fPr>
                  <m:num>
                    <m:r>
                      <m:t>q</m:t>
                    </m:r>
                  </m:num>
                  <m:den>
                    <m:r>
                      <m:t>r</m:t>
                    </m:r>
                  </m:den>
                </m:f>
                <m:r>
                  <m:t> </m:t>
                </m:r>
                <m:r>
                  <m:rPr>
                    <m:nor/>
                    <m:sty m:val="p"/>
                    <m:scr m:val="sans-serif"/>
                  </m:rPr>
                  <m:t>and</m:t>
                </m:r>
                <m:r>
                  <m:t> </m:t>
                </m:r>
                <m:r>
                  <m:t>c</m:t>
                </m:r>
                <m:r>
                  <m:rPr>
                    <m:sty m:val="p"/>
                  </m:rPr>
                  <m:t>=</m:t>
                </m:r>
                <m:f>
                  <m:fPr>
                    <m:type m:val="bar"/>
                  </m:fPr>
                  <m:num>
                    <m:r>
                      <m:t>s</m:t>
                    </m:r>
                  </m:num>
                  <m:den>
                    <m:r>
                      <m:t>r</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6</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81"/>
    <w:bookmarkEnd w:id="82"/>
    <w:bookmarkStart w:id="85"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w:t>
      </w:r>
    </w:p>
    <w:p>
      <w:pPr>
        <w:pStyle w:val="BodyText"/>
      </w:pPr>
      <w:r>
        <w:t xml:space="preserve">See [Calculator: Solving quadratic equations] to see this in action!</w:t>
      </w:r>
    </w:p>
    <w:p>
      <w:pPr>
        <w:pStyle w:val="BodyText"/>
      </w:pPr>
      <w:r>
        <w:t xml:space="preserve">(quadratic desmos, where interesections with x axis are highlighted and stated?)</w:t>
      </w:r>
    </w:p>
    <w:bookmarkEnd w:id="85"/>
    <w:bookmarkStart w:id="86"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6"/>
    <w:bookmarkStart w:id="90" w:name="further-reading"/>
    <w:p>
      <w:pPr>
        <w:pStyle w:val="Heading1"/>
      </w:pPr>
      <w:r>
        <w:t xml:space="preserve">Further reading</w:t>
      </w:r>
    </w:p>
    <w:p>
      <w:pPr>
        <w:pStyle w:val="FirstParagraph"/>
      </w:pPr>
      <w:hyperlink r:id="rId87">
        <w:r>
          <w:rPr>
            <w:rStyle w:val="Hyperlink"/>
          </w:rPr>
          <w:t xml:space="preserve">For more questions on the subject, please go to Questions: Introduction to factorization.</w:t>
        </w:r>
      </w:hyperlink>
    </w:p>
    <w:p>
      <w:pPr>
        <w:pStyle w:val="BodyText"/>
      </w:pPr>
      <w:hyperlink r:id="rId20">
        <w:r>
          <w:rPr>
            <w:rStyle w:val="Hyperlink"/>
          </w:rPr>
          <w:t xml:space="preserve">For more information on solving quadratic equations, please see Guide: Introduction to quadratic equations.</w:t>
        </w:r>
      </w:hyperlink>
    </w:p>
    <w:bookmarkStart w:id="89"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8">
        <w:r>
          <w:rPr>
            <w:rStyle w:val="Hyperlink"/>
          </w:rPr>
          <w:t xml:space="preserve">This work is licensed under CC BY-NC-SA 4.0.</w:t>
        </w:r>
      </w:hyperlink>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7"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8"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7"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8"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2025-05-02T12:50:29Z</dcterms:created>
  <dcterms:modified xsi:type="dcterms:W3CDTF">2025-05-02T12:50:29Z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