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2.png" ContentType="image/png"/>
  <Override PartName="/word/media/rId46.png" ContentType="image/png"/>
  <Override PartName="/word/media/rId50.png" ContentType="image/png"/>
  <Override PartName="/word/media/rId2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Identifying</w:t>
      </w:r>
      <w:r>
        <w:t xml:space="preserve"> </w:t>
      </w:r>
      <w:r>
        <w:t xml:space="preserve">variables</w:t>
      </w:r>
      <w:r>
        <w:t xml:space="preserve"> </w:t>
      </w:r>
      <w:r>
        <w:t xml:space="preserve">and</w:t>
      </w:r>
      <w:r>
        <w:t xml:space="preserve"> </w:t>
      </w:r>
      <w:r>
        <w:t xml:space="preserve">coefficients</w:t>
      </w:r>
      <w:r>
        <w:t xml:space="preserve"> </w:t>
      </w:r>
      <w:r>
        <w:t xml:space="preserve">of</w:t>
      </w:r>
      <w:r>
        <w:t xml:space="preserve"> </w:t>
      </w:r>
      <w:r>
        <w:t xml:space="preserve">quadratic</w:t>
      </w:r>
      <w:r>
        <w:t xml:space="preserve"> </w:t>
      </w:r>
      <w:r>
        <w:t xml:space="preserve">equations,</w:t>
      </w:r>
      <w:r>
        <w:t xml:space="preserve"> </w:t>
      </w:r>
      <w:r>
        <w:t xml:space="preserve">as</w:t>
      </w:r>
      <w:r>
        <w:t xml:space="preserve"> </w:t>
      </w:r>
      <w:r>
        <w:t xml:space="preserve">well</w:t>
      </w:r>
      <w:r>
        <w:t xml:space="preserve"> </w:t>
      </w:r>
      <w:r>
        <w:t xml:space="preserve">as</w:t>
      </w:r>
      <w:r>
        <w:t xml:space="preserve"> </w:t>
      </w:r>
      <w:r>
        <w:t xml:space="preserve">finding</w:t>
      </w:r>
      <w:r>
        <w:t xml:space="preserve"> </w:t>
      </w:r>
      <w:r>
        <w:t xml:space="preserve">the</w:t>
      </w:r>
      <w:r>
        <w:t xml:space="preserve"> </w:t>
      </w:r>
      <w:r>
        <w:t xml:space="preserve">discriminant</w:t>
      </w:r>
      <w:r>
        <w:t xml:space="preserve"> </w:t>
      </w:r>
      <m:oMath>
        <m:r>
          <m:t>D</m:t>
        </m:r>
        <m:r>
          <m:rPr>
            <m:sty m:val="p"/>
          </m:rPr>
          <m:t>=</m:t>
        </m:r>
        <m:sSup>
          <m:e>
            <m:r>
              <m:t>b</m:t>
            </m:r>
          </m:e>
          <m:sup>
            <m:r>
              <m:t>2</m:t>
            </m:r>
          </m:sup>
        </m:sSup>
        <m:r>
          <m:rPr>
            <m:sty m:val="p"/>
          </m:rPr>
          <m:t>−</m:t>
        </m:r>
        <m:r>
          <m:t>4</m:t>
        </m:r>
        <m:r>
          <m:t>a</m:t>
        </m:r>
        <m:r>
          <m:t>c</m:t>
        </m:r>
      </m:oMath>
      <w:r>
        <w:t xml:space="preserve">,</w:t>
      </w:r>
      <w:r>
        <w:t xml:space="preserve"> </w:t>
      </w:r>
      <w:r>
        <w:t xml:space="preserve">are</w:t>
      </w:r>
      <w:r>
        <w:t xml:space="preserve"> </w:t>
      </w:r>
      <w:r>
        <w:t xml:space="preserve">essential</w:t>
      </w:r>
      <w:r>
        <w:t xml:space="preserve"> </w:t>
      </w:r>
      <w:r>
        <w:t xml:space="preserve">steps</w:t>
      </w:r>
      <w:r>
        <w:t xml:space="preserve"> </w:t>
      </w:r>
      <w:r>
        <w:t xml:space="preserve">in</w:t>
      </w:r>
      <w:r>
        <w:t xml:space="preserve"> </w:t>
      </w:r>
      <w:r>
        <w:t xml:space="preserve">solving</w:t>
      </w:r>
      <w:r>
        <w:t xml:space="preserve"> </w:t>
      </w:r>
      <w:r>
        <w:t xml:space="preserve">quadratic</w:t>
      </w:r>
      <w:r>
        <w:t xml:space="preserve"> </w:t>
      </w:r>
      <w:r>
        <w:t xml:space="preserve">equations.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complex numbers</w:t>
        </w:r>
      </w:hyperlink>
      <w:r>
        <w:rPr>
          <w:i/>
          <w:iCs/>
        </w:rPr>
        <w:t xml:space="preserve">.</w:t>
      </w:r>
    </w:p>
    <w:bookmarkStart w:id="36" w:name="what-is-a-quadratic-equation"/>
    <w:p>
      <w:pPr>
        <w:pStyle w:val="Heading1"/>
      </w:pPr>
      <w:r>
        <w:t xml:space="preserve">What is a quadratic equation?</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quadratic equations in one variable, explain the shape of their graphs, and shows how to identify the variable and the coefficients of the equation. Then, the discriminant is defined, and the role of the discriminant in determining solutions to the quadratic equation is explained.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quadratic equation, root</w:t>
            </w:r>
          </w:p>
        </w:tc>
      </w:tr>
      <w:tr>
        <w:trPr>
          <w:cantSplit/>
        </w:trPr>
        <w:tc>
          <w:tcPr>
            <w:tcMar>
              <w:top w:w="108" w:type="dxa"/>
              <w:bottom w:w="108" w:type="dxa"/>
            </w:tcMar>
          </w:tcPr>
          <w:p>
            <w:pPr>
              <w:pStyle w:val="BodyText"/>
            </w:pPr>
            <w:pPr>
              <w:spacing w:before="16"/>
            </w:pPr>
            <w:r>
              <w:t xml:space="preserve">A</w:t>
            </w:r>
            <w:r>
              <w:t xml:space="preserve"> </w:t>
            </w:r>
            <w:r>
              <w:rPr>
                <w:b/>
                <w:bCs/>
              </w:rPr>
              <w:t xml:space="preserve">quadratic equation</w:t>
            </w:r>
            <w:r>
              <w:t xml:space="preserve"> </w:t>
            </w:r>
            <w:r>
              <w:t xml:space="preserve">is an equation that can be rearranged into the form</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where</w:t>
            </w:r>
            <w:r>
              <w:t xml:space="preserve"> </w:t>
            </w:r>
            <m:oMath>
              <m:r>
                <m:t>x</m:t>
              </m:r>
            </m:oMath>
            <w:r>
              <w:t xml:space="preserve"> </w:t>
            </w:r>
            <w:r>
              <w:t xml:space="preserve">is a variable and</w:t>
            </w:r>
            <w:r>
              <w:t xml:space="preserve"> </w:t>
            </w:r>
            <m:oMath>
              <m:r>
                <m:t>a</m:t>
              </m:r>
              <m:r>
                <m:rPr>
                  <m:sty m:val="p"/>
                </m:rPr>
                <m:t>,</m:t>
              </m:r>
              <m:r>
                <m:t>b</m:t>
              </m:r>
              <m:r>
                <m:rPr>
                  <m:sty m:val="p"/>
                </m:rPr>
                <m:t>,</m:t>
              </m:r>
              <m:r>
                <m:t>c</m:t>
              </m:r>
            </m:oMath>
            <w:r>
              <w:t xml:space="preserve"> </w:t>
            </w:r>
            <w:r>
              <w:t xml:space="preserve">are real numbers with</w:t>
            </w:r>
            <w:r>
              <w:t xml:space="preserve"> </w:t>
            </w:r>
            <m:oMath>
              <m:r>
                <m:t>a</m:t>
              </m:r>
              <m:r>
                <m:rPr>
                  <m:sty m:val="p"/>
                </m:rPr>
                <m:t>≠</m:t>
              </m:r>
              <m:r>
                <m:t>0</m:t>
              </m:r>
            </m:oMath>
            <w:r>
              <w:t xml:space="preserve">.</w:t>
            </w:r>
          </w:p>
          <w:p>
            <w:pPr>
              <w:pStyle w:val="BodyText"/>
            </w:pPr>
            <w:pPr>
              <w:spacing w:after="16"/>
            </w:pPr>
            <w:r>
              <w:t xml:space="preserve">Values of</w:t>
            </w:r>
            <w:r>
              <w:t xml:space="preserve"> </w:t>
            </w:r>
            <m:oMath>
              <m:r>
                <m:t>x</m:t>
              </m:r>
            </m:oMath>
            <w:r>
              <w:t xml:space="preserve"> </w:t>
            </w:r>
            <w:r>
              <w:t xml:space="preserve">that satisfy the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 known as</w:t>
            </w:r>
            <w:r>
              <w:t xml:space="preserve"> </w:t>
            </w:r>
            <w:r>
              <w:rPr>
                <w:b/>
                <w:bCs/>
              </w:rPr>
              <w:t xml:space="preserve">roots</w:t>
            </w:r>
            <w:r>
              <w:t xml:space="preserve"> </w:t>
            </w:r>
            <w:r>
              <w:t xml:space="preserve">of the equation. Typically, roots of a quadratic are expressed in the form of the variable. So here, the roots of</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r>
              <w:t xml:space="preserve"> </w:t>
            </w:r>
            <w:r>
              <w:t xml:space="preserve">‘</w:t>
            </w:r>
            <w:r>
              <w:t xml:space="preserve">roots in</w:t>
            </w:r>
            <w:r>
              <w:t xml:space="preserve"> </w:t>
            </w:r>
            <m:oMath>
              <m:r>
                <m:t>x</m:t>
              </m:r>
            </m:oMath>
            <w:r>
              <w:t xml:space="preserve">’</w:t>
            </w:r>
            <w:r>
              <w:t xml:space="preserve">.</w:t>
            </w:r>
          </w:p>
        </w:tc>
      </w:tr>
    </w:tbl>
    <w:p>
      <w:pPr>
        <w:pStyle w:val="BodyText"/>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
          <w:bCs/>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7" w:name="fig-1"/>
          <w:p>
            <w:pPr>
              <w:pStyle w:val="Compact"/>
              <w:jc w:val="center"/>
            </w:pPr>
            <w:r>
              <w:drawing>
                <wp:inline>
                  <wp:extent cx="5755521" cy="2238597"/>
                  <wp:effectExtent b="0" l="0" r="0" t="0"/>
                  <wp:docPr descr="" title="" id="25" name="Picture"/>
                  <a:graphic>
                    <a:graphicData uri="http://schemas.openxmlformats.org/drawingml/2006/picture">
                      <pic:pic>
                        <pic:nvPicPr>
                          <pic:cNvPr descr="./FiguresPNG/introtoquadratics-fig1-1.png" id="26" name="Picture"/>
                          <pic:cNvPicPr>
                            <a:picLocks noChangeArrowheads="1" noChangeAspect="1"/>
                          </pic:cNvPicPr>
                        </pic:nvPicPr>
                        <pic:blipFill>
                          <a:blip r:embed="rId24"/>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27"/>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t</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36"/>
    <w:bookmarkStart w:id="39" w:name="solving-a-quadratic-equation"/>
    <w:p>
      <w:pPr>
        <w:pStyle w:val="Heading1"/>
      </w:pPr>
      <w:r>
        <w:t xml:space="preserve">Solving a quadratic equation</w:t>
      </w:r>
    </w:p>
    <w:p>
      <w:pPr>
        <w:pStyle w:val="FirstParagraph"/>
      </w:pPr>
      <w:r>
        <w:t xml:space="preserve">To solve the quadratic equation, you could use one of three methods:</w:t>
      </w:r>
    </w:p>
    <w:p>
      <w:pPr>
        <w:numPr>
          <w:ilvl w:val="0"/>
          <w:numId w:val="1001"/>
        </w:numPr>
      </w:pPr>
      <w:r>
        <w:t xml:space="preserve">You could</w:t>
      </w:r>
      <w:r>
        <w:t xml:space="preserve"> </w:t>
      </w:r>
      <w:r>
        <w:rPr>
          <w:b/>
          <w:bCs/>
        </w:rPr>
        <w:t xml:space="preserve">factorise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 (Guide: Factorisation) for more.</w:t>
      </w:r>
    </w:p>
    <w:p>
      <w:pPr>
        <w:numPr>
          <w:ilvl w:val="0"/>
          <w:numId w:val="1001"/>
        </w:numPr>
      </w:pPr>
      <w:r>
        <w:t xml:space="preserve">You could</w:t>
      </w:r>
      <w:r>
        <w:t xml:space="preserve"> </w:t>
      </w:r>
      <w:r>
        <w:rPr>
          <w:b/>
          <w:bCs/>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w:t>
      </w:r>
      <w:r>
        <w:t xml:space="preserve"> </w:t>
      </w:r>
      <w:hyperlink r:id="rId37">
        <w:r>
          <w:rPr>
            <w:rStyle w:val="Hyperlink"/>
          </w:rPr>
          <w:t xml:space="preserve">Guide: Completing the square</w:t>
        </w:r>
      </w:hyperlink>
      <w:r>
        <w:t xml:space="preserve"> </w:t>
      </w:r>
      <w:r>
        <w:t xml:space="preserve">for more.</w:t>
      </w:r>
    </w:p>
    <w:p>
      <w:pPr>
        <w:numPr>
          <w:ilvl w:val="0"/>
          <w:numId w:val="1001"/>
        </w:numPr>
      </w:pPr>
      <w:r>
        <w:t xml:space="preserve">You could</w:t>
      </w:r>
      <w:r>
        <w:t xml:space="preserve"> </w:t>
      </w:r>
      <w:r>
        <w:rPr>
          <w:b/>
          <w:bCs/>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advised that if you are not sure which method is best, then the quadratic formula is the one to choose. See</w:t>
      </w:r>
      <w:r>
        <w:t xml:space="preserve"> </w:t>
      </w:r>
      <w:hyperlink r:id="rId38">
        <w:r>
          <w:rPr>
            <w:rStyle w:val="Hyperlink"/>
          </w:rPr>
          <w:t xml:space="preserve">Guide: Using the quadratic formula</w:t>
        </w:r>
      </w:hyperlink>
      <w:r>
        <w:t xml:space="preserve"> </w:t>
      </w:r>
      <w:r>
        <w:t xml:space="preserve">for more.</w:t>
      </w:r>
    </w:p>
    <w:bookmarkEnd w:id="39"/>
    <w:bookmarkStart w:id="65" w:name="the-discriminant"/>
    <w:p>
      <w:pPr>
        <w:pStyle w:val="Heading1"/>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
                <w:bCs/>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pStyle w:val="Compact"/>
        <w:numPr>
          <w:ilvl w:val="0"/>
          <w:numId w:val="1002"/>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on"/>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on"/>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on"/>
                </m:radPr>
                <m:deg/>
                <m:e>
                  <m:r>
                    <m:t>D</m:t>
                  </m:r>
                </m:e>
              </m:rad>
            </m:num>
            <m:den>
              <m:r>
                <m:t>2</m:t>
              </m:r>
              <m:r>
                <m:t>a</m:t>
              </m:r>
            </m:den>
          </m:f>
        </m:oMath>
      </m:oMathPara>
    </w:p>
    <w:p>
      <w:pPr>
        <w:pStyle w:val="Compact"/>
        <w:numPr>
          <w:ilvl w:val="0"/>
          <w:numId w:val="1000"/>
        </w:numPr>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ayout w:type="fixed"/>
        <w:tblLook w:firstRow="0" w:lastRow="0" w:firstColumn="0" w:lastColumn="0" w:noHBand="0" w:noVBand="0" w:val="0000"/>
      </w:tblPr>
      <w:tblGrid>
        <w:gridCol w:w="7920"/>
      </w:tblGrid>
      <w:tr>
        <w:tc>
          <w:tcPr/>
          <w:bookmarkStart w:id="45" w:name="fig-2"/>
          <w:p>
            <w:pPr>
              <w:pStyle w:val="Compact"/>
              <w:jc w:val="center"/>
            </w:pPr>
            <w:r>
              <w:drawing>
                <wp:inline>
                  <wp:extent cx="5755521" cy="2238597"/>
                  <wp:effectExtent b="0" l="0" r="0" t="0"/>
                  <wp:docPr descr="" title="" id="43" name="Picture"/>
                  <a:graphic>
                    <a:graphicData uri="http://schemas.openxmlformats.org/drawingml/2006/picture">
                      <pic:pic>
                        <pic:nvPicPr>
                          <pic:cNvPr descr="./FiguresPNG/introtoquadratics-fig2-2.png" id="44" name="Picture"/>
                          <pic:cNvPicPr>
                            <a:picLocks noChangeArrowheads="1" noChangeAspect="1"/>
                          </pic:cNvPicPr>
                        </pic:nvPicPr>
                        <pic:blipFill>
                          <a:blip r:embed="rId42"/>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45"/>
        </w:tc>
      </w:tr>
    </w:tbl>
    <w:p>
      <w:pPr>
        <w:pStyle w:val="Compact"/>
        <w:numPr>
          <w:ilvl w:val="0"/>
          <w:numId w:val="1003"/>
        </w:numPr>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on"/>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pStyle w:val="Compact"/>
        <w:numPr>
          <w:ilvl w:val="0"/>
          <w:numId w:val="1000"/>
        </w:numPr>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ayout w:type="fixed"/>
        <w:tblLook w:firstRow="0" w:lastRow="0" w:firstColumn="0" w:lastColumn="0" w:noHBand="0" w:noVBand="0" w:val="0000"/>
      </w:tblPr>
      <w:tblGrid>
        <w:gridCol w:w="7920"/>
      </w:tblGrid>
      <w:tr>
        <w:tc>
          <w:tcPr/>
          <w:bookmarkStart w:id="49" w:name="fig-3"/>
          <w:p>
            <w:pPr>
              <w:pStyle w:val="Compact"/>
              <w:jc w:val="center"/>
            </w:pPr>
            <w:r>
              <w:drawing>
                <wp:inline>
                  <wp:extent cx="5755521" cy="2238597"/>
                  <wp:effectExtent b="0" l="0" r="0" t="0"/>
                  <wp:docPr descr="" title="" id="47" name="Picture"/>
                  <a:graphic>
                    <a:graphicData uri="http://schemas.openxmlformats.org/drawingml/2006/picture">
                      <pic:pic>
                        <pic:nvPicPr>
                          <pic:cNvPr descr="./FiguresPNG/introtoquadratics-fig3-3.png" id="48" name="Picture"/>
                          <pic:cNvPicPr>
                            <a:picLocks noChangeArrowheads="1" noChangeAspect="1"/>
                          </pic:cNvPicPr>
                        </pic:nvPicPr>
                        <pic:blipFill>
                          <a:blip r:embed="rId46"/>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49"/>
        </w:tc>
      </w:tr>
    </w:tbl>
    <w:p>
      <w:pPr>
        <w:pStyle w:val="Compact"/>
        <w:numPr>
          <w:ilvl w:val="0"/>
          <w:numId w:val="1004"/>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on"/>
          </m:radPr>
          <m:deg/>
          <m:e>
            <m:r>
              <m:t>D</m:t>
            </m:r>
          </m:e>
        </m:rad>
      </m:oMath>
      <w:r>
        <w:t xml:space="preserve"> </w:t>
      </w:r>
      <w:r>
        <w:t xml:space="preserve">is not a real number. In this case, the two roots of the quadratic equation are</w:t>
      </w:r>
      <w:r>
        <w:t xml:space="preserve"> </w:t>
      </w:r>
      <w:r>
        <w:rPr>
          <w:b/>
          <w:bCs/>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oMath>
      </m:oMathPara>
    </w:p>
    <w:p>
      <w:pPr>
        <w:pStyle w:val="Compact"/>
        <w:numPr>
          <w:ilvl w:val="0"/>
          <w:numId w:val="1000"/>
        </w:numPr>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w:t>
      </w:r>
      <w:r>
        <w:t xml:space="preserve"> </w:t>
      </w:r>
      <w:hyperlink r:id="rId20">
        <w:r>
          <w:rPr>
            <w:rStyle w:val="Hyperlink"/>
          </w:rPr>
          <w:t xml:space="preserve">Guide: Introduction to complex numbers</w:t>
        </w:r>
      </w:hyperlink>
      <w:r>
        <w:t xml:space="preserve">).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ayout w:type="fixed"/>
        <w:tblLook w:firstRow="0" w:lastRow="0" w:firstColumn="0" w:lastColumn="0" w:noHBand="0" w:noVBand="0" w:val="0000"/>
      </w:tblPr>
      <w:tblGrid>
        <w:gridCol w:w="7920"/>
      </w:tblGrid>
      <w:tr>
        <w:tc>
          <w:tcPr/>
          <w:bookmarkStart w:id="53" w:name="fig-4"/>
          <w:p>
            <w:pPr>
              <w:pStyle w:val="Compact"/>
              <w:jc w:val="center"/>
            </w:pPr>
            <w:r>
              <w:drawing>
                <wp:inline>
                  <wp:extent cx="5755521" cy="2238597"/>
                  <wp:effectExtent b="0" l="0" r="0" t="0"/>
                  <wp:docPr descr="" title="" id="51" name="Picture"/>
                  <a:graphic>
                    <a:graphicData uri="http://schemas.openxmlformats.org/drawingml/2006/picture">
                      <pic:pic>
                        <pic:nvPicPr>
                          <pic:cNvPr descr="./FiguresPNG/introtoquadratics-fig4-4.png" id="52" name="Picture"/>
                          <pic:cNvPicPr>
                            <a:picLocks noChangeArrowheads="1" noChangeAspect="1"/>
                          </pic:cNvPicPr>
                        </pic:nvPicPr>
                        <pic:blipFill>
                          <a:blip r:embed="rId5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53"/>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warning.png" id="56" name="Picture"/>
                          <pic:cNvPicPr>
                            <a:picLocks noChangeArrowheads="1" noChangeAspect="1"/>
                          </pic:cNvPicPr>
                        </pic:nvPicPr>
                        <pic:blipFill>
                          <a:blip r:embed="rId5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on"/>
                </m:radPr>
                <m:deg/>
                <m:e>
                  <m:r>
                    <m:t>r</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65"/>
    <w:bookmarkStart w:id="66" w:name="quick-check-problems"/>
    <w:p>
      <w:pPr>
        <w:pStyle w:val="Heading1"/>
      </w:pPr>
      <w:r>
        <w:t xml:space="preserve">Quick check problems</w:t>
      </w:r>
    </w:p>
    <w:p>
      <w:pPr>
        <w:numPr>
          <w:ilvl w:val="0"/>
          <w:numId w:val="1005"/>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5"/>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5"/>
        </w:numPr>
      </w:pPr>
      <w:r>
        <w:t xml:space="preserve">You are given three statements below. Decide whether they are true or false.</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6"/>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Introduction to quadratic equations.</w:t>
        </w:r>
      </w:hyperlink>
    </w:p>
    <w:p>
      <w:pPr>
        <w:pStyle w:val="BodyText"/>
      </w:pPr>
      <w:hyperlink r:id="rId38">
        <w:r>
          <w:rPr>
            <w:rStyle w:val="Hyperlink"/>
          </w:rPr>
          <w:t xml:space="preserve">For a way to solve quadratic equations, please see Guide: Using the quadratic formula.</w:t>
        </w:r>
      </w:hyperlink>
    </w:p>
    <w:bookmarkStart w:id="69" w:name="version-history"/>
    <w:p>
      <w:pPr>
        <w:pStyle w:val="Heading2"/>
      </w:pPr>
      <w:r>
        <w:t xml:space="preserve">Version history</w:t>
      </w:r>
    </w:p>
    <w:p>
      <w:pPr>
        <w:pStyle w:val="FirstParagraph"/>
      </w:pPr>
      <w:r>
        <w:t xml:space="preserve">v1.0: initial version created 06/23 by tdhc.</w:t>
      </w:r>
    </w:p>
    <w:p>
      <w:pPr>
        <w:numPr>
          <w:ilvl w:val="0"/>
          <w:numId w:val="1007"/>
        </w:numPr>
      </w:pPr>
      <w:r>
        <w:t xml:space="preserve">v1.1: edited 04/24 by tdhc.</w:t>
      </w:r>
    </w:p>
    <w:p>
      <w:pPr>
        <w:numPr>
          <w:ilvl w:val="0"/>
          <w:numId w:val="1007"/>
        </w:numPr>
      </w:pPr>
      <w:r>
        <w:t xml:space="preserve">v1.2: addition of interactive Desmos figures 11/24 by tdhc.</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21" Target="media/rId21.png" /><Relationship Type="http://schemas.openxmlformats.org/officeDocument/2006/relationships/image" Id="rId54" Target="media/rId54.png" /><Relationship Type="http://schemas.openxmlformats.org/officeDocument/2006/relationships/hyperlink" Id="rId67"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8"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8"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quadratic equations</dc:title>
  <dc:creator>Tom Coleman</dc:creator>
  <cp:keywords/>
  <dcterms:created xsi:type="dcterms:W3CDTF">2025-05-01T15:25:20Z</dcterms:created>
  <dcterms:modified xsi:type="dcterms:W3CDTF">2025-05-01T15:25:20Z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Identifying variables and coefficients of quadratic equations, as well as finding the discriminant D = b^2 - 4ac, are essential steps in solving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FiguresPNG/introtoquadratics-image.png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