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46.png" ContentType="image/png"/>
  <Override PartName="/word/media/rId50.png" ContentType="image/png"/>
  <Override PartName="/word/media/rId2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39"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factorise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 (Guide: Factorisation) 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7">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8">
        <w:r>
          <w:rPr>
            <w:rStyle w:val="Hyperlink"/>
          </w:rPr>
          <w:t xml:space="preserve">Guide: Using the quadratic formula</w:t>
        </w:r>
      </w:hyperlink>
      <w:r>
        <w:t xml:space="preserve"> </w:t>
      </w:r>
      <w:r>
        <w:t xml:space="preserve">for more.</w:t>
      </w:r>
    </w:p>
    <w:bookmarkEnd w:id="39"/>
    <w:bookmarkStart w:id="65"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5" w:name="fig-2"/>
          <w:p>
            <w:pPr>
              <w:pStyle w:val="Compact"/>
              <w:jc w:val="center"/>
            </w:pPr>
            <w:r>
              <w:drawing>
                <wp:inline>
                  <wp:extent cx="5755521" cy="2238597"/>
                  <wp:effectExtent b="0" l="0" r="0" t="0"/>
                  <wp:docPr descr="" title="" id="43" name="Picture"/>
                  <a:graphic>
                    <a:graphicData uri="http://schemas.openxmlformats.org/drawingml/2006/picture">
                      <pic:pic>
                        <pic:nvPicPr>
                          <pic:cNvPr descr="./FiguresPNG/introtoquadratics-fig2-2.png" id="44" name="Picture"/>
                          <pic:cNvPicPr>
                            <a:picLocks noChangeArrowheads="1" noChangeAspect="1"/>
                          </pic:cNvPicPr>
                        </pic:nvPicPr>
                        <pic:blipFill>
                          <a:blip r:embed="rId42"/>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5"/>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49" w:name="fig-3"/>
          <w:p>
            <w:pPr>
              <w:pStyle w:val="Compact"/>
              <w:jc w:val="center"/>
            </w:pPr>
            <w:r>
              <w:drawing>
                <wp:inline>
                  <wp:extent cx="5755521" cy="2238597"/>
                  <wp:effectExtent b="0" l="0" r="0" t="0"/>
                  <wp:docPr descr="" title="" id="47" name="Picture"/>
                  <a:graphic>
                    <a:graphicData uri="http://schemas.openxmlformats.org/drawingml/2006/picture">
                      <pic:pic>
                        <pic:nvPicPr>
                          <pic:cNvPr descr="./FiguresPNG/introtoquadratics-fig3-3.png" id="48" name="Picture"/>
                          <pic:cNvPicPr>
                            <a:picLocks noChangeArrowheads="1" noChangeAspect="1"/>
                          </pic:cNvPicPr>
                        </pic:nvPicPr>
                        <pic:blipFill>
                          <a:blip r:embed="rId46"/>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49"/>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3" w:name="fig-4"/>
          <w:p>
            <w:pPr>
              <w:pStyle w:val="Compact"/>
              <w:jc w:val="center"/>
            </w:pPr>
            <w:r>
              <w:drawing>
                <wp:inline>
                  <wp:extent cx="5755521" cy="2238597"/>
                  <wp:effectExtent b="0" l="0" r="0" t="0"/>
                  <wp:docPr descr="" title="" id="51" name="Picture"/>
                  <a:graphic>
                    <a:graphicData uri="http://schemas.openxmlformats.org/drawingml/2006/picture">
                      <pic:pic>
                        <pic:nvPicPr>
                          <pic:cNvPr descr="./FiguresPNG/introtoquadratics-fig4-4.png" id="52" name="Picture"/>
                          <pic:cNvPicPr>
                            <a:picLocks noChangeArrowheads="1" noChangeAspect="1"/>
                          </pic:cNvPicPr>
                        </pic:nvPicPr>
                        <pic:blipFill>
                          <a:blip r:embed="rId5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3"/>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warning.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5"/>
    <w:bookmarkStart w:id="66"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Introduction to quadratic equations.</w:t>
        </w:r>
      </w:hyperlink>
    </w:p>
    <w:p>
      <w:pPr>
        <w:pStyle w:val="BodyText"/>
      </w:pPr>
      <w:hyperlink r:id="rId38">
        <w:r>
          <w:rPr>
            <w:rStyle w:val="Hyperlink"/>
          </w:rPr>
          <w:t xml:space="preserve">For a way to solve quadratic equations, please see Guide: Using the quadratic formula.</w:t>
        </w:r>
      </w:hyperlink>
    </w:p>
    <w:bookmarkStart w:id="69"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54" Target="media/rId54.png" /><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7" Target="../questions/qs-introtoquadratics.qmd" TargetMode="External" /><Relationship Type="http://schemas.openxmlformats.org/officeDocument/2006/relationships/hyperlink" Id="rId37" Target="completingthesquare.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8"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2025-05-02T12:50:47Z</dcterms:created>
  <dcterms:modified xsi:type="dcterms:W3CDTF">2025-05-02T12:50:47Z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