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rearranging</w:t>
      </w:r>
      <w:r>
        <w:t xml:space="preserve"> </w:t>
      </w:r>
      <w:r>
        <w:t xml:space="preserve">equations</w:t>
      </w:r>
    </w:p>
    <w:p>
      <w:pPr>
        <w:pStyle w:val="Author"/>
      </w:pPr>
      <w:r>
        <w:t xml:space="preserve">Shanelle</w:t>
      </w:r>
      <w:r>
        <w:t xml:space="preserve"> </w:t>
      </w:r>
      <w:r>
        <w:t xml:space="preserve">Advani,</w:t>
      </w:r>
      <w:r>
        <w:t xml:space="preserve"> </w:t>
      </w:r>
      <w:r>
        <w:t xml:space="preserve">Ciara</w:t>
      </w:r>
      <w:r>
        <w:t xml:space="preserve"> </w:t>
      </w:r>
      <w:r>
        <w:t xml:space="preserve">Cormican</w:t>
      </w:r>
    </w:p>
    <w:p>
      <w:pPr>
        <w:pStyle w:val="AbstractTitle"/>
      </w:pPr>
      <w:r>
        <w:t xml:space="preserve">Summary</w:t>
      </w:r>
    </w:p>
    <w:p>
      <w:pPr>
        <w:pStyle w:val="Abstract"/>
      </w:pPr>
      <w:r>
        <w:t xml:space="preserve">Being</w:t>
      </w:r>
      <w:r>
        <w:t xml:space="preserve"> </w:t>
      </w:r>
      <w:r>
        <w:t xml:space="preserve">able</w:t>
      </w:r>
      <w:r>
        <w:t xml:space="preserve"> </w:t>
      </w:r>
      <w:r>
        <w:t xml:space="preserve">to</w:t>
      </w:r>
      <w:r>
        <w:t xml:space="preserve"> </w:t>
      </w:r>
      <w:r>
        <w:t xml:space="preserve">rearrange</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simplify</w:t>
      </w:r>
      <w:r>
        <w:t xml:space="preserve"> </w:t>
      </w:r>
      <w:r>
        <w:t xml:space="preserve">problems</w:t>
      </w:r>
      <w:r>
        <w:t xml:space="preserve"> </w:t>
      </w:r>
      <w:r>
        <w:t xml:space="preserve">and</w:t>
      </w:r>
      <w:r>
        <w:t xml:space="preserve"> </w:t>
      </w:r>
      <w:r>
        <w:t xml:space="preserve">better</w:t>
      </w:r>
      <w:r>
        <w:t xml:space="preserve"> </w:t>
      </w:r>
      <w:r>
        <w:t xml:space="preserve">understand</w:t>
      </w:r>
      <w:r>
        <w:t xml:space="preserve"> </w:t>
      </w:r>
      <w:r>
        <w:t xml:space="preserve">the</w:t>
      </w:r>
      <w:r>
        <w:t xml:space="preserve"> </w:t>
      </w:r>
      <w:r>
        <w:t xml:space="preserve">relationships</w:t>
      </w:r>
      <w:r>
        <w:t xml:space="preserve"> </w:t>
      </w:r>
      <w:r>
        <w:t xml:space="preserve">between</w:t>
      </w:r>
      <w:r>
        <w:t xml:space="preserve"> </w:t>
      </w:r>
      <w:r>
        <w:t xml:space="preserve">variables.</w:t>
      </w:r>
      <w:r>
        <w:t xml:space="preserve"> </w:t>
      </w:r>
      <w:r>
        <w:t xml:space="preserve">This</w:t>
      </w:r>
      <w:r>
        <w:t xml:space="preserve"> </w:t>
      </w:r>
      <w:r>
        <w:t xml:space="preserve">will</w:t>
      </w:r>
      <w:r>
        <w:t xml:space="preserve"> </w:t>
      </w:r>
      <w:r>
        <w:t xml:space="preserve">guide</w:t>
      </w:r>
      <w:r>
        <w:t xml:space="preserve"> </w:t>
      </w:r>
      <w:r>
        <w:t xml:space="preserve">introduce</w:t>
      </w:r>
      <w:r>
        <w:t xml:space="preserve"> </w:t>
      </w:r>
      <w:r>
        <w:t xml:space="preserve">the</w:t>
      </w:r>
      <w:r>
        <w:t xml:space="preserve"> </w:t>
      </w:r>
      <w:r>
        <w:t xml:space="preserve">concept</w:t>
      </w:r>
      <w:r>
        <w:t xml:space="preserve"> </w:t>
      </w:r>
      <w:r>
        <w:t xml:space="preserve">and</w:t>
      </w:r>
      <w:r>
        <w:t xml:space="preserve"> </w:t>
      </w:r>
      <w:r>
        <w:t xml:space="preserve">take</w:t>
      </w:r>
      <w:r>
        <w:t xml:space="preserve"> </w:t>
      </w:r>
      <w:r>
        <w:t xml:space="preserve">you</w:t>
      </w:r>
      <w:r>
        <w:t xml:space="preserve"> </w:t>
      </w:r>
      <w:r>
        <w:t xml:space="preserve">through</w:t>
      </w:r>
      <w:r>
        <w:t xml:space="preserve"> </w:t>
      </w:r>
      <w:r>
        <w:t xml:space="preserve">how</w:t>
      </w:r>
      <w:r>
        <w:t xml:space="preserve"> </w:t>
      </w:r>
      <w:r>
        <w:t xml:space="preserve">to</w:t>
      </w:r>
      <w:r>
        <w:t xml:space="preserve"> </w:t>
      </w:r>
      <w:r>
        <w:t xml:space="preserve">undo</w:t>
      </w:r>
      <w:r>
        <w:t xml:space="preserve"> </w:t>
      </w:r>
      <w:r>
        <w:t xml:space="preserve">common</w:t>
      </w:r>
      <w:r>
        <w:t xml:space="preserve"> </w:t>
      </w:r>
      <w:r>
        <w:t xml:space="preserve">operations</w:t>
      </w:r>
      <w:r>
        <w:t xml:space="preserve"> </w:t>
      </w:r>
      <w:r>
        <w:t xml:space="preserve">like</w:t>
      </w:r>
      <w:r>
        <w:t xml:space="preserve"> </w:t>
      </w:r>
      <w:r>
        <w:t xml:space="preserve">addition,</w:t>
      </w:r>
      <w:r>
        <w:t xml:space="preserve"> </w:t>
      </w:r>
      <w:r>
        <w:t xml:space="preserve">multiplication,</w:t>
      </w:r>
      <w:r>
        <w:t xml:space="preserve"> </w:t>
      </w:r>
      <w:r>
        <w:t xml:space="preserve">and</w:t>
      </w:r>
      <w:r>
        <w:t xml:space="preserve"> </w:t>
      </w:r>
      <w:r>
        <w:t xml:space="preserve">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
          <w:bCs/>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w:t>
      </w:r>
      <w:r>
        <w:t xml:space="preserve">undo</w:t>
      </w:r>
      <w:r>
        <w:t xml:space="preserve">’</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
          <w:bCs/>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4"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
          <w:bCs/>
        </w:rPr>
        <w:t xml:space="preserve">rearranging for</w:t>
      </w:r>
      <w:r>
        <w:rPr>
          <w:b/>
          <w:bCs/>
        </w:rPr>
        <w:t xml:space="preserve"> </w:t>
      </w:r>
      <m:oMath>
        <m:r>
          <m:t>x</m:t>
        </m:r>
      </m:oMath>
      <w:r>
        <w:t xml:space="preserve"> </w:t>
      </w:r>
      <w:r>
        <w:t xml:space="preserve">or</w:t>
      </w:r>
      <w:r>
        <w:t xml:space="preserve"> </w:t>
      </w:r>
      <w:r>
        <w:rPr>
          <w:b/>
          <w:bCs/>
        </w:rPr>
        <w:t xml:space="preserve">making</w:t>
      </w:r>
      <w:r>
        <w:rPr>
          <w:b/>
          <w:bCs/>
        </w:rPr>
        <w:t xml:space="preserve"> </w:t>
      </w:r>
      <m:oMath>
        <m:r>
          <m:t>x</m:t>
        </m:r>
      </m:oMath>
      <w:r>
        <w:rPr>
          <w:b/>
          <w:bCs/>
        </w:rPr>
        <w:t xml:space="preserve"> </w:t>
      </w:r>
      <w:r>
        <w:rPr>
          <w:b/>
          <w:bCs/>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w:t>
      </w:r>
      <w:r>
        <w:t xml:space="preserve">undo</w:t>
      </w:r>
      <w:r>
        <w:t xml:space="preserve">’</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w:t>
      </w:r>
      <w:r>
        <w:t xml:space="preserve">undo</w:t>
      </w:r>
      <w:r>
        <w:t xml:space="preserve">’</w:t>
      </w:r>
      <w:r>
        <w:t xml:space="preserve"> </w:t>
      </w:r>
      <w:r>
        <w:t xml:space="preserve">what operations have been applied to a particular variable to express that variable on its own. This guide will focus on the following three pairs of operations:</w:t>
      </w:r>
    </w:p>
    <w:p>
      <w:pPr>
        <w:pStyle w:val="Compact"/>
        <w:numPr>
          <w:ilvl w:val="0"/>
          <w:numId w:val="1001"/>
        </w:numPr>
      </w:pPr>
      <w:r>
        <w:t xml:space="preserve">addition and subtraction</w:t>
      </w:r>
    </w:p>
    <w:p>
      <w:pPr>
        <w:pStyle w:val="Compact"/>
        <w:numPr>
          <w:ilvl w:val="0"/>
          <w:numId w:val="1001"/>
        </w:numPr>
      </w:pPr>
      <w:r>
        <w:t xml:space="preserve">multiplication and division</w:t>
      </w:r>
    </w:p>
    <w:p>
      <w:pPr>
        <w:pStyle w:val="Compact"/>
        <w:numPr>
          <w:ilvl w:val="0"/>
          <w:numId w:val="1001"/>
        </w:numPr>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pStyle w:val="Compact"/>
        <w:numPr>
          <w:ilvl w:val="0"/>
          <w:numId w:val="1002"/>
        </w:numPr>
      </w:pPr>
      <w:r>
        <w:t xml:space="preserve">subtraction</w:t>
      </w:r>
      <w:r>
        <w:t xml:space="preserve"> </w:t>
      </w:r>
      <w:r>
        <w:t xml:space="preserve">‘</w:t>
      </w:r>
      <w:r>
        <w:t xml:space="preserve">undoes</w:t>
      </w:r>
      <w:r>
        <w:t xml:space="preserve">’</w:t>
      </w:r>
      <w:r>
        <w:t xml:space="preserve"> </w:t>
      </w:r>
      <w:r>
        <w:t xml:space="preserve">addition and addition</w:t>
      </w:r>
      <w:r>
        <w:t xml:space="preserve"> </w:t>
      </w:r>
      <w:r>
        <w:t xml:space="preserve">‘</w:t>
      </w:r>
      <w:r>
        <w:t xml:space="preserve">undoes</w:t>
      </w:r>
      <w:r>
        <w:t xml:space="preserve">’</w:t>
      </w:r>
      <w:r>
        <w:t xml:space="preserve"> </w:t>
      </w:r>
      <w:r>
        <w:t xml:space="preserve">subtraction</w:t>
      </w:r>
    </w:p>
    <w:p>
      <w:pPr>
        <w:pStyle w:val="Compact"/>
        <w:numPr>
          <w:ilvl w:val="0"/>
          <w:numId w:val="1002"/>
        </w:numPr>
      </w:pPr>
      <w:r>
        <w:t xml:space="preserve">division</w:t>
      </w:r>
      <w:r>
        <w:t xml:space="preserve"> </w:t>
      </w:r>
      <w:r>
        <w:t xml:space="preserve">‘</w:t>
      </w:r>
      <w:r>
        <w:t xml:space="preserve">undoes</w:t>
      </w:r>
      <w:r>
        <w:t xml:space="preserve">’</w:t>
      </w:r>
      <w:r>
        <w:t xml:space="preserve"> </w:t>
      </w:r>
      <w:r>
        <w:t xml:space="preserve">multiplication and multiplication</w:t>
      </w:r>
      <w:r>
        <w:t xml:space="preserve"> </w:t>
      </w:r>
      <w:r>
        <w:t xml:space="preserve">‘</w:t>
      </w:r>
      <w:r>
        <w:t xml:space="preserve">undoes</w:t>
      </w:r>
      <w:r>
        <w:t xml:space="preserve">’</w:t>
      </w:r>
      <w:r>
        <w:t xml:space="preserve"> </w:t>
      </w:r>
      <w:r>
        <w:t xml:space="preserve">division</w:t>
      </w:r>
    </w:p>
    <w:p>
      <w:pPr>
        <w:pStyle w:val="Compact"/>
        <w:numPr>
          <w:ilvl w:val="0"/>
          <w:numId w:val="1002"/>
        </w:numPr>
      </w:pPr>
      <w:r>
        <w:t xml:space="preserve">taking the</w:t>
      </w:r>
      <w:r>
        <w:t xml:space="preserve"> </w:t>
      </w:r>
      <m:oMath>
        <m:r>
          <m:t>n</m:t>
        </m:r>
      </m:oMath>
      <w:r>
        <w:t xml:space="preserve">th root</w:t>
      </w:r>
      <w:r>
        <w:t xml:space="preserve"> </w:t>
      </w:r>
      <w:r>
        <w:t xml:space="preserve">‘</w:t>
      </w:r>
      <w:r>
        <w:t xml:space="preserve">undoes</w:t>
      </w:r>
      <w:r>
        <w:t xml:space="preserve">’</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w:t>
      </w:r>
      <w:r>
        <w:t xml:space="preserve">undoes</w:t>
      </w:r>
      <w:r>
        <w:t xml:space="preserve">’</w:t>
      </w:r>
      <w:r>
        <w:t xml:space="preserve"> </w:t>
      </w:r>
      <w:r>
        <w:t xml:space="preserve">taking the</w:t>
      </w:r>
      <w:r>
        <w:t xml:space="preserve"> </w:t>
      </w:r>
      <m:oMath>
        <m:r>
          <m:t>n</m:t>
        </m:r>
      </m:oMath>
      <w:r>
        <w:t xml:space="preserve">th root.</w:t>
      </w:r>
    </w:p>
    <w:p>
      <w:pPr>
        <w:pStyle w:val="FirstParagraph"/>
      </w:pPr>
      <w:r>
        <w:t xml:space="preserve">The</w:t>
      </w:r>
      <w:r>
        <w:t xml:space="preserve"> </w:t>
      </w:r>
      <w:r>
        <w:rPr>
          <w:i/>
          <w:iCs/>
        </w:rPr>
        <w:t xml:space="preserve">order</w:t>
      </w:r>
      <w:r>
        <w:t xml:space="preserve"> </w:t>
      </w:r>
      <w:r>
        <w:t xml:space="preserve">of undoing these operations is often critical. Addition, subtraction, multiplication and division involve</w:t>
      </w:r>
      <w:r>
        <w:t xml:space="preserve"> </w:t>
      </w:r>
      <w:r>
        <w:rPr>
          <w:b/>
          <w:bCs/>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
          <w:bCs/>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
                <w:iCs/>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
                <w:bCs/>
              </w:rPr>
              <w:t xml:space="preserve">undefined and should not be written</w:t>
            </w:r>
            <w:r>
              <w:t xml:space="preserve">.</w:t>
            </w:r>
          </w:p>
        </w:tc>
      </w:tr>
    </w:tbl>
    <w:p>
      <w:pPr>
        <w:pStyle w:val="BodyText"/>
      </w:pPr>
      <w:r>
        <w:t xml:space="preserve">The example below uses division to</w:t>
      </w:r>
      <w:r>
        <w:t xml:space="preserve"> </w:t>
      </w:r>
      <w:r>
        <w:t xml:space="preserve">‘</w:t>
      </w:r>
      <w:r>
        <w:t xml:space="preserve">undo</w:t>
      </w:r>
      <w:r>
        <w:t xml:space="preserve">’</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
                <w:bCs/>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
                <w:iCs/>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
                <w:bCs/>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2" w:name="powers-and-roots"/>
    <w:p>
      <w:pPr>
        <w:pStyle w:val="Heading2"/>
      </w:pPr>
      <w:r>
        <w:t xml:space="preserve">Powers and roots</w:t>
      </w:r>
    </w:p>
    <w:bookmarkStart w:id="61"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
          <w:iCs/>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on"/>
          </m:radPr>
          <m:deg/>
          <m:e>
            <m:r>
              <m:t> </m:t>
            </m:r>
          </m:e>
        </m:rad>
      </m:oMath>
      <w:r>
        <w:t xml:space="preserve">, but</w:t>
      </w:r>
      <w:r>
        <w:t xml:space="preserve"> </w:t>
      </w:r>
      <m:oMath>
        <m:r>
          <m:t>x</m:t>
        </m:r>
        <m:r>
          <m:rPr>
            <m:sty m:val="p"/>
          </m:rPr>
          <m:t>=</m:t>
        </m:r>
        <m:rad>
          <m:radPr>
            <m:degHide m:val="on"/>
          </m:radPr>
          <m:deg/>
          <m:e>
            <m:r>
              <m:t>9</m:t>
            </m:r>
          </m:e>
        </m:rad>
      </m:oMath>
      <w:r>
        <w:t xml:space="preserve"> </w:t>
      </w:r>
      <w:r>
        <w:t xml:space="preserve">can’t be two solutions at once. To get around this, you could define the square root symbol to</w:t>
      </w:r>
      <w:r>
        <w:t xml:space="preserve"> </w:t>
      </w:r>
      <w:r>
        <w:rPr>
          <w:b/>
          <w:bCs/>
        </w:rPr>
        <w:t xml:space="preserve">always</w:t>
      </w:r>
      <w:r>
        <w:t xml:space="preserve"> </w:t>
      </w:r>
      <w:r>
        <w:t xml:space="preserve">mean the</w:t>
      </w:r>
      <w:r>
        <w:t xml:space="preserve"> </w:t>
      </w:r>
      <w:r>
        <w:rPr>
          <w:i/>
          <w:iCs/>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w:t>
      </w:r>
      <w:r>
        <w:t xml:space="preserve">plus or minus</w:t>
      </w:r>
      <w:r>
        <w:t xml:space="preserve">’</w:t>
      </w:r>
      <w:r>
        <w:t xml:space="preserve">. Therefore, if</w:t>
      </w:r>
      <w:r>
        <w:t xml:space="preserve"> </w:t>
      </w:r>
      <m:oMath>
        <m:sSup>
          <m:e>
            <m:r>
              <m:t>x</m:t>
            </m:r>
          </m:e>
          <m:sup>
            <m:r>
              <m:t>2</m:t>
            </m:r>
          </m:sup>
        </m:sSup>
        <m:r>
          <m:rPr>
            <m:sty m:val="p"/>
          </m:rPr>
          <m:t>=</m:t>
        </m:r>
        <m:r>
          <m:t>9</m:t>
        </m:r>
      </m:oMath>
      <w:r>
        <w:t xml:space="preserve">, then</w:t>
      </w:r>
      <w:r>
        <w:t xml:space="preserve"> </w:t>
      </w:r>
      <m:oMath>
        <m:r>
          <m:t>x</m:t>
        </m:r>
        <m:r>
          <m:rPr>
            <m:sty m:val="p"/>
          </m:rPr>
          <m:t>=</m:t>
        </m:r>
        <m:r>
          <m:rPr>
            <m:sty m:val="p"/>
          </m:rPr>
          <m:t>±</m:t>
        </m:r>
        <m:rad>
          <m:radPr>
            <m:degHide m:val="on"/>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 square root of a negative number is</w:t>
            </w:r>
            <w:r>
              <w:t xml:space="preserve"> </w:t>
            </w:r>
            <w:r>
              <w:rPr>
                <w:b/>
                <w:bCs/>
              </w:rPr>
              <w:t xml:space="preserve">not</w:t>
            </w:r>
            <w:r>
              <w:t xml:space="preserve"> </w:t>
            </w:r>
            <w:r>
              <w:t xml:space="preserve">a real number. If you want to rearrange an equation like</w:t>
            </w:r>
            <w:r>
              <w:t xml:space="preserve"> </w:t>
            </w:r>
            <m:oMath>
              <m:sSup>
                <m:e>
                  <m:r>
                    <m:t>x</m:t>
                  </m:r>
                </m:e>
                <m:sup>
                  <m:r>
                    <m:t>2</m:t>
                  </m:r>
                </m:sup>
              </m:sSup>
              <m:r>
                <m:rPr>
                  <m:sty m:val="p"/>
                </m:rPr>
                <m:t>=</m:t>
              </m:r>
              <m:r>
                <m:rPr>
                  <m:sty m:val="p"/>
                </m:rPr>
                <m:t>−</m:t>
              </m:r>
              <m:r>
                <m:t>4</m:t>
              </m:r>
            </m:oMath>
            <w:r>
              <w:t xml:space="preserve"> </w:t>
            </w:r>
            <w:r>
              <w:t xml:space="preserve">for</w:t>
            </w:r>
            <w:r>
              <w:t xml:space="preserve"> </w:t>
            </w:r>
            <m:oMath>
              <m:r>
                <m:t>x</m:t>
              </m:r>
            </m:oMath>
            <w:r>
              <w:t xml:space="preserve">, then you will need to use</w:t>
            </w:r>
            <w:r>
              <w:t xml:space="preserve"> </w:t>
            </w:r>
            <w:r>
              <w:rPr>
                <w:b/>
                <w:bCs/>
              </w:rPr>
              <w:t xml:space="preserve">complex numbers</w:t>
            </w:r>
            <w:r>
              <w:t xml:space="preserve">. See</w:t>
            </w:r>
            <w:r>
              <w:t xml:space="preserve"> </w:t>
            </w:r>
            <w:hyperlink r:id="rId48">
              <w:r>
                <w:rPr>
                  <w:rStyle w:val="Hyperlink"/>
                </w:rPr>
                <w:t xml:space="preserve">Guide: Introduction to complex numbers</w:t>
              </w:r>
            </w:hyperlink>
            <w:r>
              <w:t xml:space="preserve"> </w:t>
            </w:r>
            <w:r>
              <w:t xml:space="preserve">for more.</w:t>
            </w:r>
          </w:p>
          <w:p>
            <w:pPr>
              <w:pStyle w:val="BodyText"/>
            </w:pPr>
            <w:pPr>
              <w:spacing w:after="16"/>
            </w:pPr>
            <w:r>
              <w:t xml:space="preserve">Complex numbers are not considered in the rest of this guide.</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
          <w:iCs/>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(no pun intended!).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
          <w:iCs/>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important.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
                  <m:t>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on"/>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
                <w:bCs/>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
                <w:iCs/>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1"/>
    <w:bookmarkEnd w:id="62"/>
    <w:bookmarkStart w:id="63"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on"/>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on"/>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3"/>
    <w:bookmarkEnd w:id="64"/>
    <w:bookmarkStart w:id="69" w:name="further-reading"/>
    <w:p>
      <w:pPr>
        <w:pStyle w:val="Heading1"/>
      </w:pPr>
      <w:r>
        <w:t xml:space="preserve">Further reading</w:t>
      </w:r>
    </w:p>
    <w:p>
      <w:pPr>
        <w:pStyle w:val="FirstParagraph"/>
      </w:pPr>
      <w:hyperlink r:id="rId65">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6">
        <w:r>
          <w:rPr>
            <w:rStyle w:val="Hyperlink"/>
          </w:rPr>
          <w:t xml:space="preserve">For more questions on this topic, please go to Questions: Introduction to rearranging equations.</w:t>
        </w:r>
      </w:hyperlink>
    </w:p>
    <w:bookmarkStart w:id="68"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pStyle w:val="Compact"/>
        <w:numPr>
          <w:ilvl w:val="0"/>
          <w:numId w:val="1006"/>
        </w:numPr>
      </w:pPr>
      <w:r>
        <w:t xml:space="preserve">v1.1: edited 06/24 by tdhc.</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6" Target="../questions/qs-introtorearrange.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48" Target="introtocomplexnumbers.qmd" TargetMode="External" /><Relationship Type="http://schemas.openxmlformats.org/officeDocument/2006/relationships/hyperlink" Id="rId65"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6" Target="../questions/qs-introtorearrange.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48" Target="introtocomplexnumbers.qmd" TargetMode="External" /><Relationship Type="http://schemas.openxmlformats.org/officeDocument/2006/relationships/hyperlink" Id="rId65"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2025-08-14T13:34:06Z</dcterms:created>
  <dcterms:modified xsi:type="dcterms:W3CDTF">2025-08-14T13:34:06Z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FiguresPNG/introtorearrange-image.png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