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You can note that by multiplying by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b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oMath>
            <w:r>
              <w:t xml:space="preserve">, you can recover an alternative formula for the change of base rule with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b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as the argument: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Using either form of the change of base rule is allowed!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asked to work out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 and the fact that you can write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</m:oMath>
            <w:r>
              <w:t xml:space="preserve"> </w:t>
            </w:r>
            <w:r>
              <w:t xml:space="preserve">to mean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</m:oMath>
            <w:r>
              <w:t xml:space="preserve">, you can write that: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Putting this into a calculator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r>
                  <m:t>7.21348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to 5 decimal places.</m:t>
                </m:r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Introduction to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numPr>
          <w:ilvl w:val="0"/>
          <w:numId w:val="1010"/>
        </w:numPr>
      </w:pPr>
      <w:r>
        <w:t xml:space="preserve">v1.3: slight modification of change of base rule 09/25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2025-09-10T09:03:09Z</dcterms:created>
  <dcterms:modified xsi:type="dcterms:W3CDTF">2025-09-10T09:03:09Z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