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48.png" ContentType="image/png"/>
  <Override PartName="/word/media/rId37.png" ContentType="image/png"/>
  <Override PartName="/word/media/rId42.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 PDFs, and CDFs</w:t>
      </w:r>
    </w:p>
    <w:p>
      <w:pPr>
        <w:pStyle w:val="Author"/>
      </w:pPr>
      <w:r>
        <w:t xml:space="preserve">Sophie Chowgule</w:t>
      </w:r>
    </w:p>
    <w:p>
      <w:pPr>
        <w:pStyle w:val="AbstractTitle"/>
      </w:pPr>
      <w:r>
        <w:t xml:space="preserve">Summary</w:t>
      </w:r>
    </w:p>
    <w:p>
      <w:pPr>
        <w:pStyle w:val="Abstract"/>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w:t>
      </w:r>
    </w:p>
    <w:p>
      <w:pPr>
        <w:pStyle w:val="FirstParagraph"/>
      </w:pPr>
      <w:r>
        <w:rPr>
          <w:i/>
          <w:iCs/>
        </w:rPr>
        <w:t xml:space="preserve">Before reading this guide, it is highly recommended that you read [Guide: Introduction to probability], [Guide: Discrete random variables versus continuous random variables], and [Guide: Introduction to integration].</w:t>
      </w:r>
    </w:p>
    <w:bookmarkStart w:id="20"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41"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7">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c>
                <w:tcPr/>
                <w:p>
                  <w:pPr>
                    <w:pStyle w:val="Compac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0.5</w:t>
                  </w:r>
                </w:p>
              </w:tc>
              <w:tc>
                <w:tcPr/>
                <w:p>
                  <w:pPr>
                    <w:pStyle w:val="Compac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‘number of successes’</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m:oMathPara>
              <m:oMathParaPr>
                <m:jc m:val="center"/>
              </m:oMathParaPr>
              <m:oMath>
                <m: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pPr>
              <w:spacing w:after="16"/>
            </w:pPr>
            <w:r>
              <w:t xml:space="preserve">You can find that all binomial distributions are valid PMFs: see</w:t>
            </w:r>
            <w:r>
              <w:t xml:space="preserve"> </w:t>
            </w:r>
            <w:hyperlink r:id="rId36">
              <w:r>
                <w:rPr>
                  <w:rStyle w:val="Hyperlink"/>
                </w:rPr>
                <w:t xml:space="preserve">Proof sheet: PMFs, PDFs, CDFs</w:t>
              </w:r>
            </w:hyperlink>
            <w:r>
              <w:t xml:space="preserve"> </w:t>
            </w:r>
            <w:r>
              <w:t xml:space="preserve">for more.</w:t>
            </w:r>
          </w:p>
        </w:tc>
      </w:tr>
    </w:tbl>
    <w:tbl>
      <w:tblPr>
        <w:tblStyle w:val="Table"/>
        <w:tblW w:type="pct" w:w="5000"/>
        <w:tblLayout w:type="fixed"/>
        <w:tblLook w:firstRow="0" w:lastRow="0" w:firstColumn="0" w:lastColumn="0" w:noHBand="0" w:noVBand="0" w:val="0000"/>
      </w:tblPr>
      <w:tblGrid>
        <w:gridCol w:w="7920"/>
      </w:tblGrid>
      <w:tr>
        <w:tc>
          <w:tcPr/>
          <w:bookmarkStart w:id="40" w:name="fig-pmfspdfscdfs1"/>
          <w:p>
            <w:pPr>
              <w:jc w:val="center"/>
            </w:pPr>
            <w:r>
              <w:drawing>
                <wp:inline>
                  <wp:extent cx="4620126" cy="3696101"/>
                  <wp:effectExtent b="0" l="0" r="0" t="0"/>
                  <wp:docPr descr="" title="" id="38" name="Picture"/>
                  <a:graphic>
                    <a:graphicData uri="http://schemas.openxmlformats.org/drawingml/2006/picture">
                      <pic:pic>
                        <pic:nvPicPr>
                          <pic:cNvPr descr="pmfspdfscdfs_files/figure-docx/unnamed-chunk-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0"/>
        </w:tc>
      </w:tr>
    </w:tbl>
    <w:bookmarkEnd w:id="41"/>
    <w:bookmarkStart w:id="63"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mfspdfscdfs2"/>
          <w:p>
            <w:pPr>
              <w:jc w:val="center"/>
            </w:pPr>
            <w:r>
              <w:drawing>
                <wp:inline>
                  <wp:extent cx="4620126" cy="3696101"/>
                  <wp:effectExtent b="0" l="0" r="0" t="0"/>
                  <wp:docPr descr="" title="" id="43" name="Picture"/>
                  <a:graphic>
                    <a:graphicData uri="http://schemas.openxmlformats.org/drawingml/2006/picture">
                      <pic:pic>
                        <pic:nvPicPr>
                          <pic:cNvPr descr="pmfspdfscdfs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5"/>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t>P</m:t>
                </m:r>
                <m:d>
                  <m:dPr>
                    <m:begChr m:val="("/>
                    <m:endChr m:val=")"/>
                    <m:sepChr m:val=""/>
                    <m:grow/>
                  </m:dPr>
                  <m:e>
                    <m:r>
                      <m:t>X</m:t>
                    </m:r>
                    <m:r>
                      <m:rPr>
                        <m:sty m:val="p"/>
                      </m:rPr>
                      <m:t>=</m:t>
                    </m:r>
                    <m:r>
                      <m:t>a</m:t>
                    </m:r>
                  </m:e>
                </m:d>
                <m:r>
                  <m:rPr>
                    <m:sty m:val="p"/>
                  </m:rPr>
                  <m:t>=</m:t>
                </m:r>
                <m: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6" w:name="fig-pmfspdfscdfs3"/>
                <w:p>
                  <w:pPr>
                    <w:jc w:val="center"/>
                  </w:pPr>
                  <w:r>
                    <w:drawing>
                      <wp:inline>
                        <wp:extent cx="4620126" cy="3696101"/>
                        <wp:effectExtent b="0" l="0" r="0" t="0"/>
                        <wp:docPr descr="" title="" id="54" name="Picture"/>
                        <a:graphic>
                          <a:graphicData uri="http://schemas.openxmlformats.org/drawingml/2006/picture">
                            <pic:pic>
                              <pic:nvPicPr>
                                <pic:cNvPr descr="pmfspdfscdfs_files/figure-docx/unnamed-chunk-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6"/>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6">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 [Guide: Mean, variance, and standard deviation] for more.)</w:t>
            </w:r>
          </w:p>
          <w:p>
            <w:pPr>
              <w:pStyle w:val="BodyText"/>
            </w:pPr>
            <w:r>
              <w:t xml:space="preserve">All normal distributions are considered valid PDFs; see</w:t>
            </w:r>
            <w:r>
              <w:t xml:space="preserve"> </w:t>
            </w:r>
            <w:hyperlink r:id="rId36">
              <w:r>
                <w:rPr>
                  <w:rStyle w:val="Hyperlink"/>
                </w:rPr>
                <w:t xml:space="preserve">Proof sheet: PMFs, PDFs, CDFs</w:t>
              </w:r>
            </w:hyperlink>
            <w:r>
              <w:t xml:space="preserve"> </w:t>
            </w:r>
            <w:r>
              <w:t xml:space="preserve">for more.</w:t>
            </w:r>
          </w:p>
          <w:p>
            <w:pPr>
              <w:pStyle w:val="BodyText"/>
            </w:pPr>
            <w:r>
              <w:t xml:space="preserve">You will find that normal distributions share a similar shape, with the peak centered at the mean and the steepness of the curve dependent on the standard deviation.</w:t>
            </w:r>
          </w:p>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2" w:name="fig-pmfspdfscdfs4"/>
                <w:p>
                  <w:pPr>
                    <w:jc w:val="center"/>
                  </w:pPr>
                  <w:r>
                    <w:drawing>
                      <wp:inline>
                        <wp:extent cx="4620126" cy="3696101"/>
                        <wp:effectExtent b="0" l="0" r="0" t="0"/>
                        <wp:docPr descr="" title="" id="60" name="Picture"/>
                        <a:graphic>
                          <a:graphicData uri="http://schemas.openxmlformats.org/drawingml/2006/picture">
                            <pic:pic>
                              <pic:nvPicPr>
                                <pic:cNvPr descr="pmfspdfscdfs_files/figure-docx/unnamed-chunk-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2"/>
              </w:tc>
            </w:tr>
          </w:tbl>
        </w:tc>
      </w:tr>
    </w:tbl>
    <w:bookmarkEnd w:id="63"/>
    <w:bookmarkStart w:id="64"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Probability mass function (PMF)</w:t>
            </w:r>
          </w:p>
        </w:tc>
        <w:tc>
          <w:tcPr/>
          <w:p>
            <w:pPr>
              <w:pStyle w:val="Compact"/>
            </w:pPr>
            <w:r>
              <w:rPr>
                <w:b/>
                <w:bCs/>
              </w:rPr>
              <w:t xml:space="preserve">Probability density function (PDF)</w:t>
            </w:r>
          </w:p>
        </w:tc>
      </w:tr>
      <w:tr>
        <w:tc>
          <w:tcPr/>
          <w:p>
            <w:pPr>
              <w:pStyle w:val="Compact"/>
            </w:pPr>
            <w:r>
              <w:t xml:space="preserve">Finds the probabilities of</w:t>
            </w:r>
            <w:r>
              <w:t xml:space="preserve"> </w:t>
            </w:r>
            <w:r>
              <w:rPr>
                <w:b/>
                <w:bCs/>
              </w:rPr>
              <w:t xml:space="preserve">discrete random variables</w:t>
            </w:r>
          </w:p>
        </w:tc>
        <w:tc>
          <w:tcPr/>
          <w:p>
            <w:pPr>
              <w:pStyle w:val="Compact"/>
            </w:pPr>
            <w:r>
              <w:t xml:space="preserve">Finds the probabilities of</w:t>
            </w:r>
            <w:r>
              <w:t xml:space="preserve"> </w:t>
            </w:r>
            <w:r>
              <w:rPr>
                <w:b/>
                <w:bCs/>
              </w:rPr>
              <w:t xml:space="preserve">continuous random variables</w:t>
            </w:r>
          </w:p>
        </w:tc>
      </w:tr>
      <w:tr>
        <w:tc>
          <w:tcPr/>
          <w:p>
            <w:pPr>
              <w:pStyle w:val="Compact"/>
            </w:pPr>
            <w:r>
              <w:t xml:space="preserve">Probabilities range from</w:t>
            </w:r>
            <w:r>
              <w:t xml:space="preserve"> </w:t>
            </w:r>
            <w:r>
              <w:rPr>
                <w:b/>
                <w:bCs/>
              </w:rPr>
              <w:t xml:space="preserve">0 to 1</w:t>
            </w:r>
            <w:r>
              <w:t xml:space="preserve"> </w:t>
            </w:r>
            <w:r>
              <w:t xml:space="preserve">for each exact outcome</w:t>
            </w:r>
          </w:p>
        </w:tc>
        <w:tc>
          <w:tcPr/>
          <w:p>
            <w:pPr>
              <w:pStyle w:val="Compac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pPr>
            <w:r>
              <w:rPr>
                <w:b/>
                <w:bCs/>
              </w:rPr>
              <w:t xml:space="preserve">Sum</w:t>
            </w:r>
            <w:r>
              <w:t xml:space="preserve"> </w:t>
            </w:r>
            <w:r>
              <w:t xml:space="preserve">of probabilities equals 1</w:t>
            </w:r>
          </w:p>
        </w:tc>
        <w:tc>
          <w:tcPr/>
          <w:p>
            <w:pPr>
              <w:pStyle w:val="Compac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4"/>
    <w:bookmarkStart w:id="75"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D:\Programming Languages\share\formats\docx\note.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‘less than or equal to’</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‘dummy variable’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D:\Programming Languages\share\formats\docx\warning.png" id="68"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pPr>
                  <m:oMath>
                    <m:r>
                      <m:t>x</m:t>
                    </m:r>
                  </m:oMath>
                </w:p>
              </w:tc>
              <w:tc>
                <w:tcPr/>
                <w:p>
                  <w:pPr>
                    <w:pStyle w:val="Compact"/>
                  </w:pPr>
                  <w:r>
                    <w:t xml:space="preserve">1</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r>
            <w:tr>
              <w:tc>
                <w:tcPr/>
                <w:p>
                  <w:pPr>
                    <w:pStyle w:val="Compact"/>
                  </w:pPr>
                  <m:oMath>
                    <m:r>
                      <m:t>P</m:t>
                    </m:r>
                    <m:d>
                      <m:dPr>
                        <m:begChr m:val="("/>
                        <m:endChr m:val=")"/>
                        <m:sepChr m:val=""/>
                        <m:grow/>
                      </m:dPr>
                      <m:e>
                        <m:r>
                          <m:t>X</m:t>
                        </m:r>
                        <m:r>
                          <m:rPr>
                            <m:sty m:val="p"/>
                          </m:rPr>
                          <m:t>≤</m:t>
                        </m:r>
                        <m:r>
                          <m:t>x</m:t>
                        </m:r>
                      </m:e>
                    </m:d>
                  </m:oMath>
                </w:p>
              </w:tc>
              <w:tc>
                <w:tcPr/>
                <w:p>
                  <w:pPr>
                    <w:pStyle w:val="Compact"/>
                  </w:pPr>
                  <m:oMath>
                    <m:f>
                      <m:fPr>
                        <m:type m:val="bar"/>
                      </m:fPr>
                      <m:num>
                        <m:r>
                          <m:t>1</m:t>
                        </m:r>
                      </m:num>
                      <m:den>
                        <m:r>
                          <m:t>6</m:t>
                        </m:r>
                      </m:den>
                    </m:f>
                  </m:oMath>
                </w:p>
              </w:tc>
              <w:tc>
                <w:tcPr/>
                <w:p>
                  <w:pPr>
                    <w:pStyle w:val="Compact"/>
                  </w:pPr>
                  <m:oMath>
                    <m:f>
                      <m:fPr>
                        <m:type m:val="bar"/>
                      </m:fPr>
                      <m:num>
                        <m:r>
                          <m:t>1</m:t>
                        </m:r>
                      </m:num>
                      <m:den>
                        <m:r>
                          <m:t>3</m:t>
                        </m:r>
                      </m:den>
                    </m:f>
                  </m:oMath>
                </w:p>
              </w:tc>
              <w:tc>
                <w:tcPr/>
                <w:p>
                  <w:pPr>
                    <w:pStyle w:val="Compact"/>
                  </w:pPr>
                  <m:oMath>
                    <m:f>
                      <m:fPr>
                        <m:type m:val="bar"/>
                      </m:fPr>
                      <m:num>
                        <m:r>
                          <m:t>1</m:t>
                        </m:r>
                      </m:num>
                      <m:den>
                        <m:r>
                          <m:t>2</m:t>
                        </m:r>
                      </m:den>
                    </m:f>
                  </m:oMath>
                </w:p>
              </w:tc>
              <w:tc>
                <w:tcPr/>
                <w:p>
                  <w:pPr>
                    <w:pStyle w:val="Compact"/>
                  </w:pPr>
                  <m:oMath>
                    <m:f>
                      <m:fPr>
                        <m:type m:val="bar"/>
                      </m:fPr>
                      <m:num>
                        <m:r>
                          <m:t>2</m:t>
                        </m:r>
                      </m:num>
                      <m:den>
                        <m:r>
                          <m:t>3</m:t>
                        </m:r>
                      </m:den>
                    </m:f>
                  </m:oMath>
                </w:p>
              </w:tc>
              <w:tc>
                <w:tcPr/>
                <w:p>
                  <w:pPr>
                    <w:pStyle w:val="Compact"/>
                  </w:pPr>
                  <m:oMath>
                    <m:f>
                      <m:fPr>
                        <m:type m:val="bar"/>
                      </m:fPr>
                      <m:num>
                        <m:r>
                          <m:t>5</m:t>
                        </m:r>
                      </m:num>
                      <m:den>
                        <m:r>
                          <m:t>6</m:t>
                        </m:r>
                      </m:den>
                    </m:f>
                  </m:oMath>
                </w:p>
              </w:tc>
              <w:tc>
                <w:tcPr/>
                <w:p>
                  <w:pPr>
                    <w:pStyle w:val="Compac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m:oMath>
                    <m:r>
                      <m:t>x</m:t>
                    </m:r>
                  </m:oMath>
                </w:p>
              </w:tc>
              <w:tc>
                <w:tcPr/>
                <w:p>
                  <w:pPr>
                    <w:pStyle w:val="Compact"/>
                  </w:pPr>
                  <w:r>
                    <w:t xml:space="preserve">0</w:t>
                  </w:r>
                </w:p>
              </w:tc>
              <w:tc>
                <w:tcPr/>
                <w:p>
                  <w:pPr>
                    <w:pStyle w:val="Compact"/>
                  </w:pPr>
                  <w:r>
                    <w:t xml:space="preserve">1</w:t>
                  </w:r>
                </w:p>
              </w:tc>
              <w:tc>
                <w:tcPr/>
                <w:p>
                  <w:pPr>
                    <w:pStyle w:val="Compact"/>
                  </w:pPr>
                  <w:r>
                    <w:t xml:space="preserve">2</w:t>
                  </w:r>
                </w:p>
              </w:tc>
            </w:tr>
            <w:tr>
              <w:tc>
                <w:tcPr/>
                <w:p>
                  <w:pPr>
                    <w:pStyle w:val="Compact"/>
                  </w:pPr>
                  <m:oMath>
                    <m:r>
                      <m:t>P</m:t>
                    </m:r>
                    <m:d>
                      <m:dPr>
                        <m:begChr m:val="("/>
                        <m:endChr m:val=")"/>
                        <m:sepChr m:val=""/>
                        <m:grow/>
                      </m:dPr>
                      <m:e>
                        <m:r>
                          <m:t>X</m:t>
                        </m:r>
                        <m:r>
                          <m:rPr>
                            <m:sty m:val="p"/>
                          </m:rPr>
                          <m:t>≤</m:t>
                        </m:r>
                        <m:r>
                          <m:t>x</m:t>
                        </m:r>
                      </m:e>
                    </m:d>
                  </m:oMath>
                </w:p>
              </w:tc>
              <w:tc>
                <w:tcPr/>
                <w:p>
                  <w:pPr>
                    <w:pStyle w:val="Compact"/>
                  </w:pPr>
                  <w:r>
                    <w:t xml:space="preserve">0.25</w:t>
                  </w:r>
                </w:p>
              </w:tc>
              <w:tc>
                <w:tcPr/>
                <w:p>
                  <w:pPr>
                    <w:pStyle w:val="Compact"/>
                  </w:pPr>
                  <w:r>
                    <w:t xml:space="preserve">0.75</w:t>
                  </w:r>
                </w:p>
              </w:tc>
              <w:tc>
                <w:tcPr/>
                <w:p>
                  <w:pPr>
                    <w:pStyle w:val="Compac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D:\Programming Languages\share\formats\docx\note.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5"/>
    <w:bookmarkStart w:id="76"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t>P</m:t>
        </m:r>
        <m:d>
          <m:dPr>
            <m:begChr m:val="("/>
            <m:endChr m:val=")"/>
            <m:sepChr m:val=""/>
            <m:grow/>
          </m:dPr>
          <m:e>
            <m:r>
              <m:t>X</m:t>
            </m:r>
            <m:r>
              <m:rPr>
                <m:sty m:val="p"/>
              </m:rPr>
              <m:t>≤</m:t>
            </m:r>
            <m:r>
              <m:t>2</m:t>
            </m:r>
          </m:e>
        </m:d>
      </m:oMath>
      <w:r>
        <w:t xml:space="preserve">?</w:t>
      </w:r>
    </w:p>
    <w:bookmarkEnd w:id="76"/>
    <w:bookmarkStart w:id="80" w:name="further-reading"/>
    <w:p>
      <w:pPr>
        <w:pStyle w:val="Heading1"/>
      </w:pPr>
      <w:r>
        <w:t xml:space="preserve">Further reading</w:t>
      </w:r>
    </w:p>
    <w:p>
      <w:pPr>
        <w:pStyle w:val="FirstParagraph"/>
      </w:pPr>
      <w:hyperlink r:id="rId77">
        <w:r>
          <w:rPr>
            <w:rStyle w:val="Hyperlink"/>
          </w:rPr>
          <w:t xml:space="preserve">For more questions on the subject, please go to Questions: PMFs, PDFs, and CDFs.</w:t>
        </w:r>
      </w:hyperlink>
    </w:p>
    <w:p>
      <w:pPr>
        <w:pStyle w:val="BodyText"/>
      </w:pPr>
      <w:hyperlink r:id="rId36">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79"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proofsheets/ps-pmfspdfscdfs.qmd" TargetMode="External" /><Relationship Type="http://schemas.openxmlformats.org/officeDocument/2006/relationships/hyperlink" Id="rId77" Target="../questions/qs-pmfspdfscdfs.qmd" TargetMode="External" /><Relationship Type="http://schemas.openxmlformats.org/officeDocument/2006/relationships/hyperlink" Id="rId27" Target="../studyguides/sigmanotation.qmd" TargetMode="External" /><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2025-05-01T11:59:04Z</dcterms:created>
  <dcterms:modified xsi:type="dcterms:W3CDTF">2025-05-01T11:59:04Z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