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 to radians</w:t>
      </w:r>
    </w:p>
    <w:p>
      <w:pPr>
        <w:pStyle w:val="Author"/>
      </w:pPr>
      <w:r>
        <w:t xml:space="preserve">Ifan Howells-Baines, Mark Toner</w:t>
      </w:r>
    </w:p>
    <w:p>
      <w:pPr>
        <w:pStyle w:val="AbstractTitle"/>
      </w:pPr>
      <w:r>
        <w:t xml:space="preserve">Summary</w:t>
      </w:r>
    </w:p>
    <w:p>
      <w:pPr>
        <w:pStyle w:val="Abstract"/>
      </w:pPr>
      <w:r>
        <w:t xml:space="preserve">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D:\Programming Languages\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D:\Programming Languages\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D:\Programming Languages\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D:\Programming Languages\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D:\Programming Languages\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D:\Programming Languages\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D:\Programming Languages\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D:\Programming Languages\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D:\Programming Languages\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D:\Programming Languages\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D:\Programming Languages\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D:\Programming Languages\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D:\Programming Languages\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D:\Programming Languages\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D:\Programming Languages\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D:\Programming Languages\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D:\Programming Languages\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D:\Programming Languages\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2025-05-01T11:59:34Z</dcterms:created>
  <dcterms:modified xsi:type="dcterms:W3CDTF">2025-05-01T11:59:34Z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