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radians</w:t>
      </w:r>
    </w:p>
    <w:p>
      <w:pPr>
        <w:pStyle w:val="Author"/>
      </w:pP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Radians</w:t>
      </w:r>
      <w:r>
        <w:t xml:space="preserve"> </w:t>
      </w:r>
      <w:r>
        <w:t xml:space="preserve">are</w:t>
      </w:r>
      <w:r>
        <w:t xml:space="preserve"> </w:t>
      </w:r>
      <w:r>
        <w:t xml:space="preserve">an</w:t>
      </w:r>
      <w:r>
        <w:t xml:space="preserve"> </w:t>
      </w:r>
      <w:r>
        <w:t xml:space="preserve">important</w:t>
      </w:r>
      <w:r>
        <w:t xml:space="preserve"> </w:t>
      </w:r>
      <w:r>
        <w:t xml:space="preserve">concept</w:t>
      </w:r>
      <w:r>
        <w:t xml:space="preserve"> </w:t>
      </w:r>
      <w:r>
        <w:t xml:space="preserve">to</w:t>
      </w:r>
      <w:r>
        <w:t xml:space="preserve"> </w:t>
      </w:r>
      <w:r>
        <w:t xml:space="preserve">understand</w:t>
      </w:r>
      <w:r>
        <w:t xml:space="preserve"> </w:t>
      </w:r>
      <w:r>
        <w:t xml:space="preserve">in</w:t>
      </w:r>
      <w:r>
        <w:t xml:space="preserve"> </w:t>
      </w:r>
      <w:r>
        <w:t xml:space="preserve">mathematics.</w:t>
      </w:r>
      <w:r>
        <w:t xml:space="preserve"> </w:t>
      </w:r>
      <w:r>
        <w:t xml:space="preserve">They</w:t>
      </w:r>
      <w:r>
        <w:t xml:space="preserve"> </w:t>
      </w:r>
      <w:r>
        <w:t xml:space="preserve">are</w:t>
      </w:r>
      <w:r>
        <w:t xml:space="preserve"> </w:t>
      </w:r>
      <w:r>
        <w:t xml:space="preserve">used</w:t>
      </w:r>
      <w:r>
        <w:t xml:space="preserve"> </w:t>
      </w:r>
      <w:r>
        <w:t xml:space="preserve">instead</w:t>
      </w:r>
      <w:r>
        <w:t xml:space="preserve"> </w:t>
      </w:r>
      <w:r>
        <w:t xml:space="preserve">of</w:t>
      </w:r>
      <w:r>
        <w:t xml:space="preserve"> </w:t>
      </w:r>
      <w:r>
        <w:t xml:space="preserve">degrees</w:t>
      </w:r>
      <w:r>
        <w:t xml:space="preserve"> </w:t>
      </w:r>
      <w:r>
        <w:t xml:space="preserve">in</w:t>
      </w:r>
      <w:r>
        <w:t xml:space="preserve"> </w:t>
      </w:r>
      <w:r>
        <w:t xml:space="preserve">areas</w:t>
      </w:r>
      <w:r>
        <w:t xml:space="preserve"> </w:t>
      </w:r>
      <w:r>
        <w:t xml:space="preserve">like</w:t>
      </w:r>
      <w:r>
        <w:t xml:space="preserve"> </w:t>
      </w:r>
      <w:r>
        <w:t xml:space="preserve">calculus</w:t>
      </w:r>
      <w:r>
        <w:t xml:space="preserve"> </w:t>
      </w:r>
      <w:r>
        <w:t xml:space="preserve">and</w:t>
      </w:r>
      <w:r>
        <w:t xml:space="preserve"> </w:t>
      </w:r>
      <w:r>
        <w:t xml:space="preserve">trigonometry,</w:t>
      </w:r>
      <w:r>
        <w:t xml:space="preserve"> </w:t>
      </w:r>
      <w:r>
        <w:t xml:space="preserve">and</w:t>
      </w:r>
      <w:r>
        <w:t xml:space="preserve"> </w:t>
      </w:r>
      <w:r>
        <w:t xml:space="preserve">so</w:t>
      </w:r>
      <w:r>
        <w:t xml:space="preserve"> </w:t>
      </w:r>
      <w:r>
        <w:t xml:space="preserve">becoming</w:t>
      </w:r>
      <w:r>
        <w:t xml:space="preserve"> </w:t>
      </w:r>
      <w:r>
        <w:t xml:space="preserve">comfortable</w:t>
      </w:r>
      <w:r>
        <w:t xml:space="preserve"> </w:t>
      </w:r>
      <w:r>
        <w:t xml:space="preserve">converting</w:t>
      </w:r>
      <w:r>
        <w:t xml:space="preserve"> </w:t>
      </w:r>
      <w:r>
        <w:t xml:space="preserve">between</w:t>
      </w:r>
      <w:r>
        <w:t xml:space="preserve"> </w:t>
      </w:r>
      <w:r>
        <w:t xml:space="preserve">radians</w:t>
      </w:r>
      <w:r>
        <w:t xml:space="preserve"> </w:t>
      </w:r>
      <w:r>
        <w:t xml:space="preserve">and</w:t>
      </w:r>
      <w:r>
        <w:t xml:space="preserve"> </w:t>
      </w:r>
      <w:r>
        <w:t xml:space="preserve">degrees</w:t>
      </w:r>
      <w:r>
        <w:t xml:space="preserve"> </w:t>
      </w:r>
      <w:r>
        <w:t xml:space="preserve">is</w:t>
      </w:r>
      <w:r>
        <w:t xml:space="preserve"> </w:t>
      </w:r>
      <w:r>
        <w:t xml:space="preserve">an</w:t>
      </w:r>
      <w:r>
        <w:t xml:space="preserve"> </w:t>
      </w:r>
      <w:r>
        <w:t xml:space="preserve">important</w:t>
      </w:r>
      <w:r>
        <w:t xml:space="preserve"> </w:t>
      </w:r>
      <w:r>
        <w:t xml:space="preserve">skill.</w:t>
      </w:r>
      <w:r>
        <w:t xml:space="preserve"> </w:t>
      </w:r>
      <w:r>
        <w:t xml:space="preserve">This</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find</w:t>
      </w:r>
      <w:r>
        <w:t xml:space="preserve"> </w:t>
      </w:r>
      <w:r>
        <w:t xml:space="preserve">lengths</w:t>
      </w:r>
      <w:r>
        <w:t xml:space="preserve"> </w:t>
      </w:r>
      <w:r>
        <w:t xml:space="preserve">of</w:t>
      </w:r>
      <w:r>
        <w:t xml:space="preserve"> </w:t>
      </w:r>
      <w:r>
        <w:t xml:space="preserve">circular</w:t>
      </w:r>
      <w:r>
        <w:t xml:space="preserve"> </w:t>
      </w:r>
      <w:r>
        <w:t xml:space="preserve">arcs</w:t>
      </w:r>
      <w:r>
        <w:t xml:space="preserve"> </w:t>
      </w:r>
      <w:r>
        <w:t xml:space="preserve">and</w:t>
      </w:r>
      <w:r>
        <w:t xml:space="preserve"> </w:t>
      </w:r>
      <w:r>
        <w:t xml:space="preserve">areas</w:t>
      </w:r>
      <w:r>
        <w:t xml:space="preserve"> </w:t>
      </w:r>
      <w:r>
        <w:t xml:space="preserve">of</w:t>
      </w:r>
      <w:r>
        <w:t xml:space="preserve"> </w:t>
      </w:r>
      <w:r>
        <w:t xml:space="preserve">circular</w:t>
      </w:r>
      <w:r>
        <w:t xml:space="preserve"> </w:t>
      </w:r>
      <w:r>
        <w:t xml:space="preserve">sectors.</w:t>
      </w:r>
    </w:p>
    <w:bookmarkStart w:id="20" w:name="what-are-radians"/>
    <w:p>
      <w:pPr>
        <w:pStyle w:val="Heading1"/>
      </w:pPr>
      <w:r>
        <w:t xml:space="preserve">What are radians?</w:t>
      </w:r>
    </w:p>
    <w:p>
      <w:pPr>
        <w:pStyle w:val="FirstParagraph"/>
      </w:pPr>
      <w:r>
        <w:rPr>
          <w:b/>
          <w:bCs/>
        </w:rPr>
        <w:t xml:space="preserve">Radians</w:t>
      </w:r>
      <w:r>
        <w:t xml:space="preserve">, like degrees are a way of measuring the size of angles and can often be identified by the presence of</w:t>
      </w:r>
      <w:r>
        <w:t xml:space="preserve"> </w:t>
      </w:r>
      <m:oMath>
        <m:r>
          <m:t>π</m:t>
        </m:r>
      </m:oMath>
      <w:r>
        <w:rPr>
          <w:b/>
          <w:bCs/>
        </w:rPr>
        <w:t xml:space="preserve">.</w:t>
      </w:r>
    </w:p>
    <w:p>
      <w:pPr>
        <w:pStyle w:val="BodyText"/>
      </w:pPr>
      <w:r>
        <w:t xml:space="preserve">Radians are the SI unit for angles derived from the</w:t>
      </w:r>
      <w:r>
        <w:t xml:space="preserve"> </w:t>
      </w:r>
      <w:r>
        <w:rPr>
          <w:b/>
          <w:bCs/>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
          <w:bCs/>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
          <w:iCs/>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
          <w:bCs/>
        </w:rPr>
        <w:t xml:space="preserve">arcs</w:t>
      </w:r>
      <w:r>
        <w:t xml:space="preserve"> </w:t>
      </w:r>
      <w:r>
        <w:t xml:space="preserve">and</w:t>
      </w:r>
      <w:r>
        <w:t xml:space="preserve"> </w:t>
      </w:r>
      <w:r>
        <w:rPr>
          <w:b/>
          <w:bCs/>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
                <w:bCs/>
              </w:rPr>
              <w:t xml:space="preserve">circular arc</w:t>
            </w:r>
            <w:r>
              <w:t xml:space="preserve">, but this is usually shortened to</w:t>
            </w:r>
            <w:r>
              <w:t xml:space="preserve"> </w:t>
            </w:r>
            <w:r>
              <w:rPr>
                <w:b/>
                <w:bCs/>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circle</w:t>
            </w:r>
            <w:r>
              <w:t xml:space="preserve"> </w:t>
            </w:r>
            <w:r>
              <w:t xml:space="preserve">does not include the interior of the circle. A circle together with its interior is called a</w:t>
            </w:r>
            <w:r>
              <w:t xml:space="preserve"> </w:t>
            </w:r>
            <w:r>
              <w:rPr>
                <w:b/>
                <w:bCs/>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ayout w:type="fixed"/>
        <w:tblLook w:firstRow="0" w:lastRow="0" w:firstColumn="0" w:lastColumn="0" w:noHBand="0" w:noVBand="0" w:val="0000"/>
      </w:tblPr>
      <w:tblGrid>
        <w:gridCol w:w="7920"/>
      </w:tblGrid>
      <w:tr>
        <w:tc>
          <w:tcPr/>
          <w:bookmarkStart w:id="32" w:name="fig-circulararc"/>
          <w:p>
            <w:pPr>
              <w:pStyle w:val="Compact"/>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
                <w:bCs/>
              </w:rPr>
              <w:t xml:space="preserve">circular sector</w:t>
            </w:r>
            <w:r>
              <w:t xml:space="preserve">, but this is usually shortened to</w:t>
            </w:r>
            <w:r>
              <w:t xml:space="preserve"> </w:t>
            </w:r>
            <w:r>
              <w:rPr>
                <w:b/>
                <w:bCs/>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circularsector"/>
          <w:p>
            <w:pPr>
              <w:pStyle w:val="Compact"/>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
          <w:bCs/>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
                <w:bCs/>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ayout w:type="fixed"/>
        <w:tblLook w:firstRow="0" w:lastRow="0" w:firstColumn="0" w:lastColumn="0" w:noHBand="0" w:noVBand="0" w:val="0000"/>
      </w:tblPr>
      <w:tblGrid>
        <w:gridCol w:w="7920"/>
      </w:tblGrid>
      <w:tr>
        <w:tc>
          <w:tcPr/>
          <w:bookmarkStart w:id="48" w:name="fig-radian"/>
          <w:p>
            <w:pPr>
              <w:pStyle w:val="Compact"/>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ayout w:type="fixed"/>
        <w:tblLook w:firstRow="0" w:lastRow="0" w:firstColumn="0" w:lastColumn="0" w:noHBand="0" w:noVBand="0" w:val="0000"/>
      </w:tblPr>
      <w:tblGrid>
        <w:gridCol w:w="7920"/>
      </w:tblGrid>
      <w:tr>
        <w:tc>
          <w:tcPr/>
          <w:bookmarkStart w:id="52" w:name="fig-twopi"/>
          <w:p>
            <w:pPr>
              <w:pStyle w:val="Compact"/>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pStyle w:val="Compact"/>
              <w:numPr>
                <w:ilvl w:val="0"/>
                <w:numId w:val="1001"/>
              </w:numPr>
            </w:pPr>
            <w:r>
              <w:t xml:space="preserve">Multiply the angle in degrees by</w:t>
            </w:r>
            <w:r>
              <w:t xml:space="preserve"> </w:t>
            </w:r>
            <m:oMath>
              <m:r>
                <m:t>π</m:t>
              </m:r>
            </m:oMath>
          </w:p>
          <w:p>
            <w:pPr>
              <w:pStyle w:val="Compact"/>
              <w:numPr>
                <w:ilvl w:val="0"/>
                <w:numId w:val="1001"/>
              </w:numPr>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pStyle w:val="Compact"/>
              <w:numPr>
                <w:ilvl w:val="0"/>
                <w:numId w:val="1002"/>
              </w:numPr>
            </w:pPr>
            <w:r>
              <w:t xml:space="preserve">Multiplying by</w:t>
            </w:r>
            <w:r>
              <w:t xml:space="preserve"> </w:t>
            </w:r>
            <m:oMath>
              <m:r>
                <m:t>π</m:t>
              </m:r>
            </m:oMath>
            <w:r>
              <w:t xml:space="preserve"> </w:t>
            </w:r>
            <w:r>
              <w:t xml:space="preserve">gives</w:t>
            </w:r>
            <w:r>
              <w:t xml:space="preserve"> </w:t>
            </w:r>
            <m:oMath>
              <m:r>
                <m:t>180</m:t>
              </m:r>
              <m:r>
                <m:t>π</m:t>
              </m:r>
            </m:oMath>
          </w:p>
          <w:p>
            <w:pPr>
              <w:pStyle w:val="Compact"/>
              <w:numPr>
                <w:ilvl w:val="0"/>
                <w:numId w:val="1002"/>
              </w:numPr>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pStyle w:val="Compact"/>
              <w:numPr>
                <w:ilvl w:val="0"/>
                <w:numId w:val="1003"/>
              </w:numPr>
            </w:pPr>
            <w:r>
              <w:t xml:space="preserve">Multiplying by</w:t>
            </w:r>
            <w:r>
              <w:t xml:space="preserve"> </w:t>
            </w:r>
            <m:oMath>
              <m:r>
                <m:t>π</m:t>
              </m:r>
            </m:oMath>
            <w:r>
              <w:t xml:space="preserve"> </w:t>
            </w:r>
            <w:r>
              <w:t xml:space="preserve">gives</w:t>
            </w:r>
            <w:r>
              <w:t xml:space="preserve"> </w:t>
            </w:r>
            <m:oMath>
              <m:r>
                <m:t>45</m:t>
              </m:r>
              <m:r>
                <m:t>π</m:t>
              </m:r>
            </m:oMath>
          </w:p>
          <w:p>
            <w:pPr>
              <w:pStyle w:val="Compact"/>
              <w:numPr>
                <w:ilvl w:val="0"/>
                <w:numId w:val="1003"/>
              </w:numPr>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
                <w:bCs/>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pStyle w:val="Compact"/>
              <w:numPr>
                <w:ilvl w:val="0"/>
                <w:numId w:val="1004"/>
              </w:numPr>
            </w:pPr>
            <w:r>
              <w:t xml:space="preserve">Multiply the angle in radians by</w:t>
            </w:r>
            <w:r>
              <w:t xml:space="preserve"> </w:t>
            </w:r>
            <m:oMath>
              <m:r>
                <m:t>180</m:t>
              </m:r>
            </m:oMath>
          </w:p>
          <w:p>
            <w:pPr>
              <w:pStyle w:val="Compact"/>
              <w:numPr>
                <w:ilvl w:val="0"/>
                <w:numId w:val="1004"/>
              </w:numPr>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pStyle w:val="Compact"/>
              <w:numPr>
                <w:ilvl w:val="0"/>
                <w:numId w:val="1005"/>
              </w:numPr>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pStyle w:val="Compact"/>
              <w:numPr>
                <w:ilvl w:val="0"/>
                <w:numId w:val="1005"/>
              </w:numPr>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pStyle w:val="Compact"/>
              <w:numPr>
                <w:ilvl w:val="0"/>
                <w:numId w:val="1006"/>
              </w:numPr>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pStyle w:val="Compact"/>
              <w:numPr>
                <w:ilvl w:val="0"/>
                <w:numId w:val="1006"/>
              </w:numPr>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ayout w:type="fixed"/>
        <w:tblLook w:firstRow="1" w:lastRow="0" w:firstColumn="0" w:lastColumn="0" w:noHBand="0" w:noVBand="0" w:val="0020"/>
      </w:tblPr>
      <w:tblGrid>
        <w:gridCol w:w="1545"/>
        <w:gridCol w:w="579"/>
        <w:gridCol w:w="579"/>
        <w:gridCol w:w="579"/>
        <w:gridCol w:w="579"/>
        <w:gridCol w:w="579"/>
        <w:gridCol w:w="579"/>
        <w:gridCol w:w="579"/>
        <w:gridCol w:w="579"/>
        <w:gridCol w:w="579"/>
        <w:gridCol w:w="579"/>
        <w:gridCol w:w="579"/>
      </w:tblGrid>
      <w:tr>
        <w:trPr>
          <w:tblHeader w:val="on"/>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pStyle w:val="Compact"/>
        <w:numPr>
          <w:ilvl w:val="0"/>
          <w:numId w:val="1007"/>
        </w:numPr>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pStyle w:val="Compact"/>
        <w:numPr>
          <w:ilvl w:val="0"/>
          <w:numId w:val="1009"/>
        </w:numPr>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pStyle w:val="Compact"/>
        <w:numPr>
          <w:ilvl w:val="0"/>
          <w:numId w:val="1011"/>
        </w:numPr>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Introduction to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13"/>
        </w:numPr>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2025-02-13T12:56:01Z</dcterms:created>
  <dcterms:modified xsi:type="dcterms:W3CDTF">2025-02-13T12:56:01Z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FiguresPNG/radians-image.png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