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 the denominator</w:t>
      </w:r>
    </w:p>
    <w:p>
      <w:pPr>
        <w:pStyle w:val="Author"/>
      </w:pPr>
      <w:r>
        <w:t xml:space="preserve">Maximilian Volmar</w:t>
      </w:r>
    </w:p>
    <w:p>
      <w:pPr>
        <w:pStyle w:val="AbstractTitle"/>
      </w:pPr>
      <w:r>
        <w:t xml:space="preserve">Summary</w:t>
      </w:r>
    </w:p>
    <w:p>
      <w:pPr>
        <w:pStyle w:val="Abstract"/>
      </w:pPr>
      <w:r>
        <w:t xml:space="preserve">Rationalizing the denominator is a technique for simplifying fractions involving square roots in the denominator. This study guide also explains how to rationalize denominators through the use of the quadratic 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2025-05-01T11:59:46Z</dcterms:created>
  <dcterms:modified xsi:type="dcterms:W3CDTF">2025-05-01T11:59:46Z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