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scalar</w:t>
      </w:r>
      <w:r>
        <w:t xml:space="preserve"> </w:t>
      </w:r>
      <w:r>
        <w:t xml:space="preserve">product</w:t>
      </w:r>
    </w:p>
    <w:p>
      <w:pPr>
        <w:pStyle w:val="Author"/>
      </w:pPr>
      <w:r>
        <w:t xml:space="preserve">Isabella</w:t>
      </w:r>
      <w:r>
        <w:t xml:space="preserve"> </w:t>
      </w:r>
      <w:r>
        <w:t xml:space="preserve">Lewis</w:t>
      </w:r>
    </w:p>
    <w:p>
      <w:pPr>
        <w:pStyle w:val="AbstractTitle"/>
      </w:pPr>
      <w:r>
        <w:t xml:space="preserve">Summary</w:t>
      </w:r>
    </w:p>
    <w:p>
      <w:pPr>
        <w:pStyle w:val="Abstract"/>
      </w:pPr>
      <w:r>
        <w:t xml:space="preserve">The</w:t>
      </w:r>
      <w:r>
        <w:t xml:space="preserve"> </w:t>
      </w:r>
      <w:r>
        <w:t xml:space="preserve">scalar</w:t>
      </w:r>
      <w:r>
        <w:t xml:space="preserve"> </w:t>
      </w:r>
      <w:r>
        <w:t xml:space="preserve">product</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vectors,</w:t>
      </w:r>
      <w:r>
        <w:t xml:space="preserve"> </w:t>
      </w:r>
      <w:r>
        <w:t xml:space="preserve">with</w:t>
      </w:r>
      <w:r>
        <w:t xml:space="preserve"> </w:t>
      </w:r>
      <w:r>
        <w:t xml:space="preserve">many</w:t>
      </w:r>
      <w:r>
        <w:t xml:space="preserve"> </w:t>
      </w:r>
      <w:r>
        <w:t xml:space="preserve">geometric</w:t>
      </w:r>
      <w:r>
        <w:t xml:space="preserve"> </w:t>
      </w:r>
      <w:r>
        <w:t xml:space="preserve">and</w:t>
      </w:r>
      <w:r>
        <w:t xml:space="preserve"> </w:t>
      </w:r>
      <w:r>
        <w:t xml:space="preserve">algebraic</w:t>
      </w:r>
      <w:r>
        <w:t xml:space="preserve"> </w:t>
      </w:r>
      <w:r>
        <w:t xml:space="preserve">applications.</w:t>
      </w:r>
    </w:p>
    <w:p>
      <w:pPr>
        <w:pStyle w:val="FirstParagraph"/>
      </w:pPr>
      <w:r>
        <w:rPr>
          <w:i/>
          <w:iCs/>
        </w:rPr>
        <w:t xml:space="preserve">Before reading this guide, you must have a good initial knowledge of vectors. Therefore, it is highly recommended that you read</w:t>
      </w:r>
      <w:r>
        <w:rPr>
          <w:i/>
          <w:iCs/>
        </w:rPr>
        <w:t xml:space="preserve"> </w:t>
      </w:r>
      <w:hyperlink r:id="rId20">
        <w:r>
          <w:rPr>
            <w:rStyle w:val="Hyperlink"/>
            <w:i/>
            <w:iCs/>
          </w:rPr>
          <w:t xml:space="preserve">Guide: Introduction to vectors</w:t>
        </w:r>
      </w:hyperlink>
      <w:r>
        <w:rPr>
          <w:i/>
          <w:iCs/>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
          <w:bCs/>
        </w:rPr>
        <w:t xml:space="preserve">scalar product</w:t>
      </w:r>
      <w:r>
        <w:t xml:space="preserve">.</w:t>
      </w:r>
    </w:p>
    <w:p>
      <w:pPr>
        <w:pStyle w:val="BodyText"/>
      </w:pPr>
      <w:r>
        <w:t xml:space="preserve">The</w:t>
      </w:r>
      <w:r>
        <w:t xml:space="preserve"> </w:t>
      </w:r>
      <w:r>
        <w:rPr>
          <w:b/>
          <w:bCs/>
        </w:rPr>
        <w:t xml:space="preserve">scalar product</w:t>
      </w:r>
      <w:r>
        <w:t xml:space="preserve"> </w:t>
      </w:r>
      <w:r>
        <w:t xml:space="preserve">also known as the</w:t>
      </w:r>
      <w:r>
        <w:t xml:space="preserve"> </w:t>
      </w:r>
      <w:r>
        <w:rPr>
          <w:b/>
          <w:bCs/>
        </w:rPr>
        <w:t xml:space="preserve">dot product</w:t>
      </w:r>
      <w:r>
        <w:t xml:space="preserve"> </w:t>
      </w:r>
      <w:r>
        <w:t xml:space="preserve">(due to the symbol for the operation) or</w:t>
      </w:r>
      <w:r>
        <w:t xml:space="preserve"> </w:t>
      </w:r>
      <w:r>
        <w:rPr>
          <w:b/>
          <w:bCs/>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
          <w:bCs/>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
                <w:bCs/>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
                <w:bCs/>
              </w:rPr>
              <w:t xml:space="preserve">incorrect</w:t>
            </w:r>
            <w:r>
              <w:t xml:space="preserve"> </w:t>
            </w:r>
            <w:r>
              <w:t xml:space="preserve">and should be recalculated.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
                <w:bCs/>
              </w:rPr>
              <w:t xml:space="preserve">negative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
          <w:iCs/>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w:t>
            </w:r>
            <w:r>
              <w:t xml:space="preserve">theta</w:t>
            </w:r>
            <w:r>
              <w:t xml:space="preserve">’</w:t>
            </w:r>
            <w:r>
              <w:t xml:space="preserve">) is the</w:t>
            </w:r>
            <w:r>
              <w:t xml:space="preserve"> </w:t>
            </w:r>
            <w:r>
              <w:rPr>
                <w:b/>
                <w:bCs/>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on"/>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on"/>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on"/>
                      </m:radPr>
                      <m:deg/>
                      <m:e>
                        <m:r>
                          <m:t>35</m:t>
                        </m:r>
                      </m:e>
                    </m:rad>
                    <m:rad>
                      <m:radPr>
                        <m:degHide m:val="on"/>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on"/>
                      </m:radPr>
                      <m:deg/>
                      <m:e>
                        <m:r>
                          <m:t>51</m:t>
                        </m:r>
                      </m:e>
                    </m:rad>
                    <m:rad>
                      <m:radPr>
                        <m:degHide m:val="on"/>
                      </m:radPr>
                      <m:deg/>
                      <m:e>
                        <m:r>
                          <m:t>6</m:t>
                        </m:r>
                      </m:e>
                    </m:rad>
                  </m:den>
                </m:f>
              </m:oMath>
            </m:oMathPara>
          </w:p>
          <w:p>
            <w:pPr>
              <w:pStyle w:val="FirstParagraph"/>
            </w:pPr>
            <w:r>
              <w:t xml:space="preserve">and so, following the advice from Example 4 above, you can work out the angle to be</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
                <w:bCs/>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
          <w:bCs/>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
          <w:bCs/>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on"/>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pStyle w:val="Compact"/>
        <w:numPr>
          <w:ilvl w:val="0"/>
          <w:numId w:val="1003"/>
        </w:numPr>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5"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4" w:name="version-history-and-licensing"/>
    <w:p>
      <w:pPr>
        <w:pStyle w:val="Heading2"/>
      </w:pPr>
      <w:r>
        <w:t xml:space="preserve">Version history and licensing</w:t>
      </w:r>
    </w:p>
    <w:p>
      <w:pPr>
        <w:pStyle w:val="FirstParagraph"/>
      </w:pPr>
      <w:r>
        <w:t xml:space="preserve">v1.0: initial version created 08/23 by Isabella Lewis as part of a University of St Andrews STEP project.</w:t>
      </w:r>
    </w:p>
    <w:p>
      <w:pPr>
        <w:pStyle w:val="Compact"/>
        <w:numPr>
          <w:ilvl w:val="0"/>
          <w:numId w:val="1005"/>
        </w:numPr>
      </w:pPr>
      <w:r>
        <w:t xml:space="preserve">v1.1: edited 05/24 by tdhc.</w:t>
      </w:r>
    </w:p>
    <w:p>
      <w:pPr>
        <w:pStyle w:val="FirstParagraph"/>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2025-04-14T15:32:18Z</dcterms:created>
  <dcterms:modified xsi:type="dcterms:W3CDTF">2025-04-14T15:32:18Z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FiguresPNG/scalarproduct-image.png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