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Solving</w:t>
      </w:r>
      <w:r>
        <w:t xml:space="preserve"> </w:t>
      </w:r>
      <w:r>
        <w:t xml:space="preserve">equations</w:t>
      </w:r>
      <w:r>
        <w:t xml:space="preserve"> </w:t>
      </w:r>
      <w:r>
        <w:t xml:space="preserve">involving</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i/>
          <w:iCs/>
        </w:rPr>
        <w:t xml:space="preserve">Before reading this, you may want to read the guides on logarithms, trigonometry, radians, and trigonometric identities.</w:t>
      </w:r>
    </w:p>
    <w:p>
      <w:pPr>
        <w:pStyle w:val="BodyText"/>
      </w:pPr>
      <w:r>
        <w:t xml:space="preserve">In</w:t>
      </w:r>
      <w:r>
        <w:t xml:space="preserve"> </w:t>
      </w:r>
      <w:hyperlink r:id="rId20">
        <w:r>
          <w:rPr>
            <w:rStyle w:val="Hyperlink"/>
          </w:rPr>
          <w:t xml:space="preserve">Guide: Introduction to logarithms</w:t>
        </w:r>
      </w:hyperlink>
      <w:r>
        <w:t xml:space="preserve">, you learned about the different ways that you can manipulate expressions involving powers (like</w:t>
      </w:r>
      <w:r>
        <w:t xml:space="preserve"> </w:t>
      </w:r>
      <m:oMath>
        <m:sSup>
          <m:e>
            <m:r>
              <m:t>x</m:t>
            </m:r>
          </m:e>
          <m:sup>
            <m:r>
              <m:t>3</m:t>
            </m:r>
          </m:sup>
        </m:sSup>
      </m:oMath>
      <w:r>
        <w:t xml:space="preserve"> </w:t>
      </w:r>
      <w:r>
        <w:t xml:space="preserve">and</w:t>
      </w:r>
      <w:r>
        <w:t xml:space="preserve"> </w:t>
      </w:r>
      <m:oMath>
        <m:sSup>
          <m:e>
            <m:r>
              <m:t>2</m:t>
            </m:r>
          </m:e>
          <m:sup>
            <m:r>
              <m:t>80</m:t>
            </m:r>
          </m:sup>
        </m:sSup>
      </m:oMath>
      <w:r>
        <w:t xml:space="preserve">) and</w:t>
      </w:r>
      <w:r>
        <w:t xml:space="preserve"> </w:t>
      </w:r>
      <m:oMath>
        <m:r>
          <m:t>n</m:t>
        </m:r>
      </m:oMath>
      <w:r>
        <w:t xml:space="preserve">th roots (such as</w:t>
      </w:r>
      <w:r>
        <w:t xml:space="preserve"> </w:t>
      </w:r>
      <m:oMath>
        <m:rad>
          <m:deg>
            <m:r>
              <m:t>4</m:t>
            </m:r>
          </m:deg>
          <m:e>
            <m:r>
              <m:t>x</m:t>
            </m:r>
          </m:e>
        </m:rad>
      </m:oMath>
      <w:r>
        <w:t xml:space="preserve"> </w:t>
      </w:r>
      <w:r>
        <w:t xml:space="preserve">and</w:t>
      </w:r>
      <w:r>
        <w:t xml:space="preserve"> </w:t>
      </w:r>
      <m:oMath>
        <m:sSup>
          <m:e>
            <m:r>
              <m:t>2</m:t>
            </m:r>
          </m:e>
          <m:sup>
            <m:r>
              <m:t>1</m:t>
            </m:r>
            <m:r>
              <m:rPr>
                <m:sty m:val="p"/>
              </m:rPr>
              <m:t>/</m:t>
            </m:r>
            <m:r>
              <m:t>80</m:t>
            </m:r>
          </m:sup>
        </m:sSup>
      </m:oMath>
      <w:r>
        <w:t xml:space="preserve">). In general life however, this knowledge will not be enough; you will need to apply the ideas of logarithms to help you solve equations.</w:t>
      </w:r>
    </w:p>
    <w:p>
      <w:pPr>
        <w:pStyle w:val="BodyText"/>
      </w:pPr>
      <w:r>
        <w:t xml:space="preserve">Solving equations involving logarithms is a key skill in areas whenever logarithmic concepts play a role: economics, physics (particularly acoustics, where the decibel is a logarithmic measure), chemistry (pH is a logarithmic measure), biology, mathematics and statistics, computational complexity, and even music theory!</w:t>
      </w:r>
    </w:p>
    <w:p>
      <w:pPr>
        <w:pStyle w:val="BodyText"/>
      </w:pPr>
      <w:r>
        <w:t xml:space="preserve">Before you get started however, it is worth restating the recommendation above: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This guide assumes an excellent knowledge of logarithms and the laws of logarithms. Please make sure that you have read</w:t>
            </w:r>
            <w:r>
              <w:rPr>
                <w:b/>
                <w:bCs/>
              </w:rPr>
              <w:t xml:space="preserve"> </w:t>
            </w:r>
            <w:hyperlink r:id="rId20">
              <w:r>
                <w:rPr>
                  <w:rStyle w:val="Hyperlink"/>
                  <w:b/>
                  <w:bCs/>
                </w:rPr>
                <w:t xml:space="preserve">Guide: Introduction to logarithms</w:t>
              </w:r>
            </w:hyperlink>
            <w:r>
              <w:rPr>
                <w:b/>
                <w:bCs/>
              </w:rPr>
              <w:t xml:space="preserve"> </w:t>
            </w:r>
            <w:r>
              <w:rPr>
                <w:b/>
                <w:bCs/>
              </w:rPr>
              <w:t xml:space="preserve">before continuing.</w:t>
            </w:r>
          </w:p>
          <w:p>
            <w:pPr>
              <w:pStyle w:val="BodyText"/>
            </w:pPr>
            <w:pPr>
              <w:spacing w:after="16"/>
            </w:pPr>
            <w:r>
              <w:t xml:space="preserve">The numbering of the laws will follow the numbering in this guide and on</w:t>
            </w:r>
            <w:r>
              <w:t xml:space="preserve"> </w:t>
            </w:r>
            <w:hyperlink r:id="rId24">
              <w:r>
                <w:rPr>
                  <w:rStyle w:val="Hyperlink"/>
                </w:rPr>
                <w:t xml:space="preserve">Factsheet: Laws of logarithms</w:t>
              </w:r>
            </w:hyperlink>
            <w:r>
              <w:t xml:space="preserve">.</w:t>
            </w:r>
          </w:p>
        </w:tc>
      </w:tr>
    </w:tbl>
    <w:bookmarkStart w:id="53" w:name="discussion-of-techniques"/>
    <w:p>
      <w:pPr>
        <w:pStyle w:val="Heading1"/>
      </w:pPr>
      <w:r>
        <w:t xml:space="preserve">Discussion of techniques</w:t>
      </w:r>
    </w:p>
    <w:p>
      <w:pPr>
        <w:pStyle w:val="FirstParagraph"/>
      </w:pPr>
      <w:r>
        <w:t xml:space="preserve">In general, the first golden rule of solving equations involving logarithms is the following: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First golden rule</w:t>
            </w:r>
          </w:p>
        </w:tc>
      </w:tr>
      <w:tr>
        <w:trPr>
          <w:cantSplit/>
        </w:trPr>
        <w:tc>
          <w:tcPr>
            <w:tcMar>
              <w:top w:w="108" w:type="dxa"/>
              <w:bottom w:w="108" w:type="dxa"/>
            </w:tcMar>
          </w:tcPr>
          <w:p>
            <w:pPr>
              <w:pStyle w:val="BodyText"/>
            </w:pPr>
            <w:pPr>
              <w:spacing w:before="16"/>
            </w:pPr>
            <w:r>
              <w:rPr>
                <w:b/>
                <w:bCs/>
              </w:rPr>
              <w:t xml:space="preserve">Make sure all logarithms are in the same base before simplifying</w:t>
            </w:r>
            <w:r>
              <w:t xml:space="preserve">. To do this (if applicable) you could use the</w:t>
            </w:r>
            <w:r>
              <w:t xml:space="preserve"> </w:t>
            </w:r>
            <w:r>
              <w:rPr>
                <w:b/>
                <w:bCs/>
              </w:rPr>
              <w:t xml:space="preserve">change of base rule</w:t>
            </w:r>
            <w:r>
              <w:t xml:space="preserve">.</w:t>
            </w:r>
          </w:p>
          <w:p>
            <w:pPr>
              <w:pStyle w:val="BodyText"/>
            </w:pPr>
            <w:pPr>
              <w:spacing w:after="16"/>
            </w:pPr>
            <w:r>
              <w:t xml:space="preserve">This is because Laws 1 and 2 of the laws of logarithms can only be applied when the logarithms have the same base.</w:t>
            </w:r>
          </w:p>
        </w:tc>
      </w:tr>
    </w:tbl>
    <w:p>
      <w:pPr>
        <w:pStyle w:val="BodyText"/>
      </w:pPr>
      <w:r>
        <w:t xml:space="preserve">It may be that you have logarithms in different bases in your equation; so how can you make them to be in the same base? The answer is the</w:t>
      </w:r>
      <w:r>
        <w:t xml:space="preserve"> </w:t>
      </w:r>
      <w:r>
        <w:rPr>
          <w:b/>
          <w:bCs/>
        </w:rPr>
        <w:t xml:space="preserve">change of base</w:t>
      </w:r>
      <w:r>
        <w:t xml:space="preserve"> </w:t>
      </w:r>
      <w:r>
        <w:t xml:space="preserve">rule (Law 6), which you should use in this scenario.</w:t>
      </w:r>
    </w:p>
    <w:p>
      <w:pPr>
        <w:pStyle w:val="BodyText"/>
      </w:pPr>
      <w:r>
        <w:t xml:space="preserve">You have seen in</w:t>
      </w:r>
      <w:r>
        <w:t xml:space="preserve"> </w:t>
      </w:r>
      <w:hyperlink r:id="rId20">
        <w:r>
          <w:rPr>
            <w:rStyle w:val="Hyperlink"/>
          </w:rPr>
          <w:t xml:space="preserve">Guide: Introduction to logarithms</w:t>
        </w:r>
      </w:hyperlink>
      <w:r>
        <w:t xml:space="preserve"> </w:t>
      </w:r>
      <w:r>
        <w:t xml:space="preserve">that</w:t>
      </w:r>
      <w:r>
        <w:t xml:space="preserve"> </w:t>
      </w:r>
      <w:r>
        <w:rPr>
          <w:b/>
          <w:bCs/>
        </w:rPr>
        <w:t xml:space="preserve">logarithms undo exponentiation and exponentiation undoes logarithms</w:t>
      </w:r>
      <w:r>
        <w:t xml:space="preserve">. More formally, you have that for all</w:t>
      </w:r>
      <w:r>
        <w:t xml:space="preserve"> </w:t>
      </w:r>
      <m:oMath>
        <m:r>
          <m:t>a</m:t>
        </m:r>
        <m:r>
          <m:rPr>
            <m:sty m:val="p"/>
          </m:rPr>
          <m:t>&gt;</m:t>
        </m:r>
        <m:r>
          <m:t>0</m:t>
        </m:r>
      </m:oMath>
      <w:r>
        <w:t xml:space="preserve"> </w:t>
      </w:r>
      <w:r>
        <w:t xml:space="preserve">with</w:t>
      </w:r>
      <w:r>
        <w:t xml:space="preserve"> </w:t>
      </w:r>
      <m:oMath>
        <m:r>
          <m:t>a</m:t>
        </m:r>
        <m:r>
          <m:rPr>
            <m:sty m:val="p"/>
          </m:rPr>
          <m:t>≠</m:t>
        </m:r>
        <m:r>
          <m:t>1</m:t>
        </m:r>
      </m:oMath>
      <w:r>
        <w:t xml:space="preserve"> </w:t>
      </w:r>
      <w:r>
        <w:t xml:space="preserve">and all real numbers</w:t>
      </w:r>
      <w:r>
        <w:t xml:space="preserve"> </w:t>
      </w:r>
      <m:oMath>
        <m:r>
          <m:t>y</m:t>
        </m:r>
      </m:oMath>
      <w:r>
        <w:t xml:space="preserve"> </w:t>
      </w:r>
      <w:r>
        <w:t xml:space="preserve">(where the expression is defined):</w:t>
      </w:r>
    </w:p>
    <w:p>
      <w:pPr>
        <w:pStyle w:val="BodyText"/>
      </w:pPr>
      <m:oMathPara>
        <m:oMathParaPr>
          <m:jc m:val="center"/>
        </m:oMathParaPr>
        <m:oMath>
          <m:r>
            <m:t> </m:t>
          </m:r>
          <m:sSup>
            <m:e>
              <m:r>
                <m:t>a</m:t>
              </m:r>
            </m:e>
            <m:sup>
              <m:sSub>
                <m:e>
                  <m:r>
                    <m:rPr>
                      <m:sty m:val="p"/>
                    </m:rPr>
                    <m:t>log</m:t>
                  </m:r>
                </m:e>
                <m:sub>
                  <m:r>
                    <m:t>a</m:t>
                  </m:r>
                </m:sub>
              </m:sSub>
              <m:d>
                <m:dPr>
                  <m:begChr m:val="("/>
                  <m:endChr m:val=")"/>
                  <m:sepChr m:val=""/>
                  <m:grow/>
                </m:dPr>
                <m:e>
                  <m:r>
                    <m:t>y</m:t>
                  </m:r>
                </m:e>
              </m:d>
            </m:sup>
          </m:sSup>
          <m:r>
            <m:rPr>
              <m:sty m:val="p"/>
            </m:rPr>
            <m:t>=</m:t>
          </m:r>
          <m:r>
            <m:t>y</m:t>
          </m:r>
          <m:r>
            <m:t>  </m:t>
          </m:r>
          <m:r>
            <m:rPr>
              <m:nor/>
              <m:sty m:val="p"/>
              <m:scr m:val="sans-serif"/>
            </m:rPr>
            <m:t> and </m:t>
          </m:r>
          <m:r>
            <m:t>  </m:t>
          </m:r>
          <m:sSub>
            <m:e>
              <m:r>
                <m:rPr>
                  <m:sty m:val="p"/>
                </m:rPr>
                <m:t>log</m:t>
              </m:r>
            </m:e>
            <m:sub>
              <m:r>
                <m:t>a</m:t>
              </m:r>
            </m:sub>
          </m:sSub>
          <m:d>
            <m:dPr>
              <m:begChr m:val="("/>
              <m:endChr m:val=")"/>
              <m:sepChr m:val=""/>
              <m:grow/>
            </m:dPr>
            <m:e>
              <m:sSup>
                <m:e>
                  <m:r>
                    <m:t>a</m:t>
                  </m:r>
                </m:e>
                <m:sup>
                  <m:r>
                    <m:t>y</m:t>
                  </m:r>
                </m:sup>
              </m:sSup>
            </m:e>
          </m:d>
          <m:r>
            <m:rPr>
              <m:sty m:val="p"/>
            </m:rPr>
            <m:t>=</m:t>
          </m:r>
          <m:r>
            <m:t>y</m:t>
          </m:r>
        </m:oMath>
      </m:oMathPara>
    </w:p>
    <w:p>
      <w:pPr>
        <w:pStyle w:val="FirstParagraph"/>
      </w:pPr>
      <w:r>
        <w:t xml:space="preserve">However, this only works if there is one term on each side of the equation. For instance, you can notice that</w:t>
      </w:r>
    </w:p>
    <w:p>
      <w:pPr>
        <w:pStyle w:val="BodyText"/>
      </w:pPr>
      <m:oMathPara>
        <m:oMathParaPr>
          <m:jc m:val="center"/>
        </m:oMathParaPr>
        <m:oMath>
          <m:sSub>
            <m:e>
              <m:r>
                <m:rPr>
                  <m:sty m:val="p"/>
                </m:rPr>
                <m:t>log</m:t>
              </m:r>
            </m:e>
            <m:sub>
              <m:r>
                <m:t>a</m:t>
              </m:r>
            </m:sub>
          </m:sSub>
          <m:d>
            <m:dPr>
              <m:begChr m:val="("/>
              <m:endChr m:val=")"/>
              <m:sepChr m:val=""/>
              <m:grow/>
            </m:dPr>
            <m:e>
              <m:r>
                <m:t>x</m:t>
              </m:r>
            </m:e>
          </m:d>
          <m:r>
            <m:rPr>
              <m:sty m:val="p"/>
            </m:rPr>
            <m:t>+</m:t>
          </m:r>
          <m:sSub>
            <m:e>
              <m:r>
                <m:rPr>
                  <m:sty m:val="p"/>
                </m:rPr>
                <m:t>log</m:t>
              </m:r>
            </m:e>
            <m:sub>
              <m:r>
                <m:t>a</m:t>
              </m:r>
            </m:sub>
          </m:sSub>
          <m:d>
            <m:dPr>
              <m:begChr m:val="("/>
              <m:endChr m:val=")"/>
              <m:sepChr m:val=""/>
              <m:grow/>
            </m:dPr>
            <m:e>
              <m:r>
                <m:t>y</m:t>
              </m:r>
            </m:e>
          </m:d>
          <m:r>
            <m:rPr>
              <m:sty m:val="p"/>
            </m:rPr>
            <m:t>=</m:t>
          </m:r>
          <m:sSub>
            <m:e>
              <m:r>
                <m:rPr>
                  <m:sty m:val="p"/>
                </m:rPr>
                <m:t>log</m:t>
              </m:r>
            </m:e>
            <m:sub>
              <m:r>
                <m:t>a</m:t>
              </m:r>
            </m:sub>
          </m:sSub>
          <m:d>
            <m:dPr>
              <m:begChr m:val="("/>
              <m:endChr m:val=")"/>
              <m:sepChr m:val=""/>
              <m:grow/>
            </m:dPr>
            <m:e>
              <m:r>
                <m:t>z</m:t>
              </m:r>
            </m:e>
          </m:d>
        </m:oMath>
      </m:oMathPara>
    </w:p>
    <w:p>
      <w:pPr>
        <w:pStyle w:val="FirstParagraph"/>
      </w:pPr>
      <w:r>
        <w:t xml:space="preserve">does</w:t>
      </w:r>
      <w:r>
        <w:t xml:space="preserve"> </w:t>
      </w:r>
      <w:r>
        <w:rPr>
          <w:b/>
          <w:bCs/>
        </w:rPr>
        <w:t xml:space="preserve">not</w:t>
      </w:r>
      <w:r>
        <w:t xml:space="preserve"> </w:t>
      </w:r>
      <w:r>
        <w:t xml:space="preserve">automatically imply that</w:t>
      </w:r>
      <w:r>
        <w:t xml:space="preserve"> </w:t>
      </w:r>
      <m:oMath>
        <m:r>
          <m:t>x</m:t>
        </m:r>
        <m:r>
          <m:rPr>
            <m:sty m:val="p"/>
          </m:rPr>
          <m:t>+</m:t>
        </m:r>
        <m:r>
          <m:t>y</m:t>
        </m:r>
        <m:r>
          <m:rPr>
            <m:sty m:val="p"/>
          </m:rPr>
          <m:t>=</m:t>
        </m:r>
        <m:r>
          <m:t>z</m:t>
        </m:r>
      </m:oMath>
      <w:r>
        <w:t xml:space="preserve">. This is because Law 1 of the laws of logarithms, it actually follows that</w:t>
      </w:r>
    </w:p>
    <w:p>
      <w:pPr>
        <w:pStyle w:val="BodyText"/>
      </w:pPr>
      <m:oMathPara>
        <m:oMathParaPr>
          <m:jc m:val="center"/>
        </m:oMathParaPr>
        <m:oMath>
          <m:sSub>
            <m:e>
              <m:r>
                <m:rPr>
                  <m:sty m:val="p"/>
                </m:rPr>
                <m:t>log</m:t>
              </m:r>
            </m:e>
            <m:sub>
              <m:r>
                <m:t>a</m:t>
              </m:r>
            </m:sub>
          </m:sSub>
          <m:d>
            <m:dPr>
              <m:begChr m:val="("/>
              <m:endChr m:val=")"/>
              <m:sepChr m:val=""/>
              <m:grow/>
            </m:dPr>
            <m:e>
              <m:r>
                <m:t>x</m:t>
              </m:r>
            </m:e>
          </m:d>
          <m:r>
            <m:rPr>
              <m:sty m:val="p"/>
            </m:rPr>
            <m:t>+</m:t>
          </m:r>
          <m:sSub>
            <m:e>
              <m:r>
                <m:rPr>
                  <m:sty m:val="p"/>
                </m:rPr>
                <m:t>log</m:t>
              </m:r>
            </m:e>
            <m:sub>
              <m:r>
                <m:t>a</m:t>
              </m:r>
            </m:sub>
          </m:sSub>
          <m:d>
            <m:dPr>
              <m:begChr m:val="("/>
              <m:endChr m:val=")"/>
              <m:sepChr m:val=""/>
              <m:grow/>
            </m:dPr>
            <m:e>
              <m:r>
                <m:t>y</m:t>
              </m:r>
            </m:e>
          </m:d>
          <m:r>
            <m:rPr>
              <m:sty m:val="p"/>
            </m:rPr>
            <m:t>=</m:t>
          </m:r>
          <m:sSub>
            <m:e>
              <m:r>
                <m:rPr>
                  <m:sty m:val="p"/>
                </m:rPr>
                <m:t>log</m:t>
              </m:r>
            </m:e>
            <m:sub>
              <m:r>
                <m:t>a</m:t>
              </m:r>
            </m:sub>
          </m:sSub>
          <m:d>
            <m:dPr>
              <m:begChr m:val="("/>
              <m:endChr m:val=")"/>
              <m:sepChr m:val=""/>
              <m:grow/>
            </m:dPr>
            <m:e>
              <m:r>
                <m:t>x</m:t>
              </m:r>
              <m:r>
                <m:t>y</m:t>
              </m:r>
            </m:e>
          </m:d>
          <m:r>
            <m:rPr>
              <m:sty m:val="p"/>
            </m:rPr>
            <m:t>=</m:t>
          </m:r>
          <m:sSub>
            <m:e>
              <m:r>
                <m:rPr>
                  <m:sty m:val="p"/>
                </m:rPr>
                <m:t>log</m:t>
              </m:r>
            </m:e>
            <m:sub>
              <m:r>
                <m:t>a</m:t>
              </m:r>
            </m:sub>
          </m:sSub>
          <m:d>
            <m:dPr>
              <m:begChr m:val="("/>
              <m:endChr m:val=")"/>
              <m:sepChr m:val=""/>
              <m:grow/>
            </m:dPr>
            <m:e>
              <m:r>
                <m:t>z</m:t>
              </m:r>
            </m:e>
          </m:d>
        </m:oMath>
      </m:oMathPara>
    </w:p>
    <w:p>
      <w:pPr>
        <w:pStyle w:val="FirstParagraph"/>
      </w:pPr>
      <w:r>
        <w:t xml:space="preserve">and so it actually implies that</w:t>
      </w:r>
      <w:r>
        <w:t xml:space="preserve"> </w:t>
      </w:r>
      <m:oMath>
        <m:r>
          <m:t>x</m:t>
        </m:r>
        <m:r>
          <m:t>y</m:t>
        </m:r>
        <m:r>
          <m:rPr>
            <m:sty m:val="p"/>
          </m:rPr>
          <m:t>=</m:t>
        </m:r>
        <m:r>
          <m:t>z</m:t>
        </m:r>
      </m:oMath>
      <w:r>
        <w:t xml:space="preserve">.</w:t>
      </w:r>
    </w:p>
    <w:p>
      <w:pPr>
        <w:pStyle w:val="BodyText"/>
      </w:pPr>
      <w:r>
        <w:t xml:space="preserve">So the second golden rule of solving equations involving logarithms is the following: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Second golden rule</w:t>
            </w:r>
          </w:p>
        </w:tc>
      </w:tr>
      <w:tr>
        <w:trPr>
          <w:cantSplit/>
        </w:trPr>
        <w:tc>
          <w:tcPr>
            <w:tcMar>
              <w:top w:w="108" w:type="dxa"/>
              <w:bottom w:w="108" w:type="dxa"/>
            </w:tcMar>
          </w:tcPr>
          <w:p>
            <w:pPr>
              <w:pStyle w:val="BodyText"/>
            </w:pPr>
            <w:pPr>
              <w:spacing w:before="16" w:after="16"/>
            </w:pPr>
            <w:r>
              <w:rPr>
                <w:b/>
                <w:bCs/>
              </w:rPr>
              <w:t xml:space="preserve">To undo a logarithm, you need exactly one term on each side of the equation. If both terms are logarithms, they should be in the same base</w:t>
            </w:r>
            <w:r>
              <w:t xml:space="preserve">.</w:t>
            </w:r>
          </w:p>
        </w:tc>
      </w:tr>
    </w:tbl>
    <w:p>
      <w:pPr>
        <w:pStyle w:val="BodyText"/>
      </w:pPr>
      <w:r>
        <w:t xml:space="preserve">So for instance, if you are solving an equation involving logarithms, you can isolate the variable on one side of the equation, and have a constant on the other (see</w:t>
      </w:r>
      <w:r>
        <w:t xml:space="preserve"> </w:t>
      </w:r>
      <w:hyperlink r:id="rId30">
        <w:r>
          <w:rPr>
            <w:rStyle w:val="Hyperlink"/>
          </w:rPr>
          <w:t xml:space="preserve">Guide: Introduction to rearranging equations</w:t>
        </w:r>
      </w:hyperlink>
      <w:r>
        <w:t xml:space="preserve"> </w:t>
      </w:r>
      <w:r>
        <w:t xml:space="preserve">for more). Perhaps it looks like</w:t>
      </w:r>
      <w:r>
        <w:t xml:space="preserve"> </w:t>
      </w:r>
      <m:oMath>
        <m:sSub>
          <m:e>
            <m:r>
              <m:rPr>
                <m:sty m:val="p"/>
              </m:rPr>
              <m:t>log</m:t>
            </m:r>
          </m:e>
          <m:sub>
            <m:r>
              <m:t>a</m:t>
            </m:r>
          </m:sub>
        </m:sSub>
        <m:d>
          <m:dPr>
            <m:begChr m:val="("/>
            <m:endChr m:val=")"/>
            <m:sepChr m:val=""/>
            <m:grow/>
          </m:dPr>
          <m:e>
            <m:r>
              <m:t>x</m:t>
            </m:r>
          </m:e>
        </m:d>
        <m:r>
          <m:rPr>
            <m:sty m:val="p"/>
          </m:rPr>
          <m:t>=</m:t>
        </m:r>
        <m:r>
          <m:t>b</m:t>
        </m:r>
      </m:oMath>
      <w:r>
        <w:t xml:space="preserve">. From there, you can exponentiate both sides with base</w:t>
      </w:r>
      <w:r>
        <w:t xml:space="preserve"> </w:t>
      </w:r>
      <m:oMath>
        <m:r>
          <m:t>a</m:t>
        </m:r>
      </m:oMath>
      <w:r>
        <w:t xml:space="preserve"> </w:t>
      </w:r>
      <w:r>
        <w:t xml:space="preserve">to get</w:t>
      </w:r>
    </w:p>
    <w:p>
      <w:pPr>
        <w:pStyle w:val="BodyText"/>
      </w:pPr>
      <m:oMathPara>
        <m:oMathParaPr>
          <m:jc m:val="center"/>
        </m:oMathParaPr>
        <m:oMath>
          <m:sSup>
            <m:e>
              <m:r>
                <m:t>a</m:t>
              </m:r>
            </m:e>
            <m:sup>
              <m:sSub>
                <m:e>
                  <m:r>
                    <m:rPr>
                      <m:sty m:val="p"/>
                    </m:rPr>
                    <m:t>log</m:t>
                  </m:r>
                </m:e>
                <m:sub>
                  <m:r>
                    <m:t>a</m:t>
                  </m:r>
                </m:sub>
              </m:sSub>
              <m:d>
                <m:dPr>
                  <m:begChr m:val="("/>
                  <m:endChr m:val=")"/>
                  <m:sepChr m:val=""/>
                  <m:grow/>
                </m:dPr>
                <m:e>
                  <m:r>
                    <m:t>x</m:t>
                  </m:r>
                </m:e>
              </m:d>
            </m:sup>
          </m:sSup>
          <m:r>
            <m:rPr>
              <m:sty m:val="p"/>
            </m:rPr>
            <m:t>=</m:t>
          </m:r>
          <m:r>
            <m:t>x</m:t>
          </m:r>
          <m:r>
            <m:rPr>
              <m:sty m:val="p"/>
            </m:rPr>
            <m:t>=</m:t>
          </m:r>
          <m:sSup>
            <m:e>
              <m:r>
                <m:t>a</m:t>
              </m:r>
            </m:e>
            <m:sup>
              <m:r>
                <m:t>b</m:t>
              </m:r>
            </m:sup>
          </m:sSup>
        </m:oMath>
      </m:oMathPara>
    </w:p>
    <w:p>
      <w:pPr>
        <w:pStyle w:val="FirstParagraph"/>
      </w:pPr>
      <w:r>
        <w:t xml:space="preserve">and so</w:t>
      </w:r>
      <w:r>
        <w:t xml:space="preserve"> </w:t>
      </w:r>
      <m:oMath>
        <m:r>
          <m:t>x</m:t>
        </m:r>
        <m:r>
          <m:rPr>
            <m:sty m:val="p"/>
          </m:rPr>
          <m:t>=</m:t>
        </m:r>
        <m:sSup>
          <m:e>
            <m:r>
              <m:t>a</m:t>
            </m:r>
          </m:e>
          <m:sup>
            <m:r>
              <m:t>b</m:t>
            </m:r>
          </m:sup>
        </m:sSup>
      </m:oMath>
      <w:r>
        <w:t xml:space="preserve">.</w:t>
      </w:r>
    </w:p>
    <w:p>
      <w:pPr>
        <w:pStyle w:val="BodyText"/>
      </w:pPr>
      <w:r>
        <w:t xml:space="preserve">However, please be aware of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warning.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You cannot take logarithms of a negative number!</w:t>
            </w:r>
          </w:p>
        </w:tc>
      </w:tr>
    </w:tbl>
    <w:p>
      <w:pPr>
        <w:pStyle w:val="BodyText"/>
      </w:pPr>
      <w:r>
        <w:t xml:space="preserve">So if you are solving an equation involving logarithms, you need to check if the solution is</w:t>
      </w:r>
      <w:r>
        <w:t xml:space="preserve"> </w:t>
      </w:r>
      <w:r>
        <w:rPr>
          <w:i/>
          <w:iCs/>
        </w:rPr>
        <w:t xml:space="preserve">valid</w:t>
      </w:r>
      <w:r>
        <w:t xml:space="preserve"> </w:t>
      </w:r>
      <w:r>
        <w:t xml:space="preserve">by putting any answers into your original equation.</w:t>
      </w:r>
    </w:p>
    <w:p>
      <w:r>
        <w:pict>
          <v:rect style="width:0;height:1.5pt" o:hralign="center" o:hrstd="t" o:hr="t"/>
        </w:pict>
      </w:r>
    </w:p>
    <w:p>
      <w:r>
        <w:pict>
          <v:rect style="width:0;height:1.5pt" o:hralign="center" o:hrstd="t" o:hr="t"/>
        </w:pict>
      </w:r>
    </w:p>
    <w:p>
      <w:pPr>
        <w:pStyle w:val="FirstParagraph"/>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51"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1"/>
    <w:bookmarkStart w:id="52"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bookmarkEnd w:id="52"/>
    <w:bookmarkEnd w:id="53"/>
    <w:bookmarkStart w:id="57" w:name="further-reading"/>
    <w:p>
      <w:pPr>
        <w:pStyle w:val="Heading1"/>
      </w:pPr>
      <w:r>
        <w:t xml:space="preserve">Further reading</w:t>
      </w:r>
    </w:p>
    <w:p>
      <w:pPr>
        <w:pStyle w:val="FirstParagraph"/>
      </w:pPr>
      <w:r>
        <w:t xml:space="preserve">For more questions on the subject, please go to</w:t>
      </w:r>
      <w:r>
        <w:t xml:space="preserve"> </w:t>
      </w:r>
      <w:hyperlink r:id="rId54">
        <w:r>
          <w:rPr>
            <w:rStyle w:val="Hyperlink"/>
          </w:rPr>
          <w:t xml:space="preserve">Questions: Solving equations involving logarithms</w:t>
        </w:r>
      </w:hyperlink>
      <w:r>
        <w:t xml:space="preserve">.</w:t>
      </w:r>
    </w:p>
    <w:bookmarkStart w:id="56" w:name="version-history-and-licensing"/>
    <w:p>
      <w:pPr>
        <w:pStyle w:val="Heading2"/>
      </w:pPr>
      <w:r>
        <w:t xml:space="preserve">Version history and licensing</w:t>
      </w:r>
    </w:p>
    <w:p>
      <w:pPr>
        <w:pStyle w:val="FirstParagraph"/>
      </w:pPr>
      <w:r>
        <w:t xml:space="preserve">v1.0: initial version created 08/23 by Ellie Gurini, Krish Chaudhary, Mark Toner as part of a University of St Andrews STEP project, and updated 08/25 by tdhc.</w:t>
      </w:r>
    </w:p>
    <w:p>
      <w:pPr>
        <w:pStyle w:val="BodyText"/>
      </w:pPr>
      <w:hyperlink r:id="rId55">
        <w:r>
          <w:rPr>
            <w:rStyle w:val="Hyperlink"/>
          </w:rPr>
          <w:t xml:space="preserve">This work is licensed under CC BY-NC-SA 4.0.</w:t>
        </w:r>
      </w:hyperlink>
    </w:p>
    <w:bookmarkEnd w:id="56"/>
    <w:bookmarkEnd w:id="5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hyperlink" Id="rId24" Target="../factsheets/f-lawsoflogs.qmd" TargetMode="External" /><Relationship Type="http://schemas.openxmlformats.org/officeDocument/2006/relationships/hyperlink" Id="rId54" Target="../questions/qs-solvingeqsindices.qmd" TargetMode="External" /><Relationship Type="http://schemas.openxmlformats.org/officeDocument/2006/relationships/hyperlink" Id="rId55" Target="https://creativecommons.org/licenses/by-nc-sa/4.0/?ref=chooser-v1" TargetMode="External" /><Relationship Type="http://schemas.openxmlformats.org/officeDocument/2006/relationships/hyperlink" Id="rId30" Target="introtorearrange.qmd" TargetMode="External" /><Relationship Type="http://schemas.openxmlformats.org/officeDocument/2006/relationships/hyperlink" Id="rId20"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24" Target="../factsheets/f-lawsoflogs.qmd" TargetMode="External" /><Relationship Type="http://schemas.openxmlformats.org/officeDocument/2006/relationships/hyperlink" Id="rId54" Target="../questions/qs-solvingeqsindices.qmd" TargetMode="External" /><Relationship Type="http://schemas.openxmlformats.org/officeDocument/2006/relationships/hyperlink" Id="rId55" Target="https://creativecommons.org/licenses/by-nc-sa/4.0/?ref=chooser-v1" TargetMode="External" /><Relationship Type="http://schemas.openxmlformats.org/officeDocument/2006/relationships/hyperlink" Id="rId30" Target="introtorearrange.qmd" TargetMode="External" /><Relationship Type="http://schemas.openxmlformats.org/officeDocument/2006/relationships/hyperlink" Id="rId20"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Solving equations involving logarithms</dc:title>
  <dc:creator>Ellie Gurini, Krish Chaudhary, Mark Toner</dc:creator>
  <cp:keywords/>
  <dcterms:created xsi:type="dcterms:W3CDTF">2025-08-29T12:23:05Z</dcterms:created>
  <dcterms:modified xsi:type="dcterms:W3CDTF">2025-08-29T12:23:05Z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