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 (degrees)</w:t>
      </w:r>
    </w:p>
    <w:p>
      <w:pPr>
        <w:pStyle w:val="Author"/>
      </w:pPr>
      <w:r>
        <w:t xml:space="preserve">Ciara Cormican, Ellie Gurini, Dzhemma Ruseva</w:t>
      </w:r>
    </w:p>
    <w:p>
      <w:pPr>
        <w:pStyle w:val="AbstractTitle"/>
      </w:pPr>
      <w:r>
        <w:t xml:space="preserve">Summary</w:t>
      </w:r>
    </w:p>
    <w:p>
      <w:pPr>
        <w:pStyle w:val="Abstract"/>
      </w:pPr>
      <w:r>
        <w:t xml:space="preserve">Trigonometric functions are key concepts which will appear frequently throughout your mathematical studies. They have uses in geometry, calculus, mechanics, and much more. This guide uses degrees to measure 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‘o’</w:t>
      </w:r>
      <w:r>
        <w:t xml:space="preserve">, the side which has no contact with the right angle</w:t>
      </w:r>
      <w:r>
        <w:t xml:space="preserve"> </w:t>
      </w:r>
      <w:r>
        <w:t xml:space="preserve">‘h’</w:t>
      </w:r>
      <w:r>
        <w:t xml:space="preserve"> </w:t>
      </w:r>
      <w:r>
        <w:t xml:space="preserve">(for hypotenuse), and the final side as</w:t>
      </w:r>
      <w:r>
        <w:t xml:space="preserve"> </w:t>
      </w:r>
      <w:r>
        <w:t xml:space="preserve">‘a’</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D:\Programming Languages\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‘SOH, CAH, TOA’</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‘starts’</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D:\Programming Languages\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D:\Programming Languages\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D:\Programming Languages\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2025-02-19T15:43:57Z</dcterms:created>
  <dcterms:modified xsi:type="dcterms:W3CDTF">2025-02-19T15:43:57Z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