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 If you have some information about either two sides or a side and an angle, you can use the trigonometric functions to figure out the size of the angle or the other side.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p>
            <w:pPr>
              <w:pStyle w:val="FirstParagraph"/>
            </w:pP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 #fig-0.</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pStyle w:val="Compact"/>
        <w:numPr>
          <w:ilvl w:val="0"/>
          <w:numId w:val="1006"/>
        </w:numPr>
      </w:pPr>
      <w:r>
        <w:t xml:space="preserve">v1.1: edited 04/24 by tdhc, and split into versions for both degrees and radians.</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2025-01-24T13:17:30Z</dcterms:created>
  <dcterms:modified xsi:type="dcterms:W3CDTF">2025-01-24T13:17:30Z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