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r>
        <w:t xml:space="preserve"> </w:t>
      </w:r>
      <w:r>
        <w:t xml:space="preserve">This</w:t>
      </w:r>
      <w:r>
        <w:t xml:space="preserve"> </w:t>
      </w:r>
      <w:r>
        <w:t xml:space="preserve">is</w:t>
      </w:r>
      <w:r>
        <w:t xml:space="preserve"> </w:t>
      </w:r>
      <w:r>
        <w:t xml:space="preserve">a</w:t>
      </w:r>
      <w:r>
        <w:t xml:space="preserve"> </w:t>
      </w:r>
      <w:r>
        <w:t xml:space="preserve">dynamic</w:t>
      </w:r>
      <w:r>
        <w:t xml:space="preserve"> </w:t>
      </w:r>
      <w:r>
        <w:t xml:space="preserve">document,</w:t>
      </w:r>
      <w:r>
        <w:t xml:space="preserve"> </w:t>
      </w:r>
      <w:r>
        <w:t xml:space="preserve">and</w:t>
      </w:r>
      <w:r>
        <w:t xml:space="preserve"> </w:t>
      </w:r>
      <w:r>
        <w:t xml:space="preserve">will</w:t>
      </w:r>
      <w:r>
        <w:t xml:space="preserve"> </w:t>
      </w:r>
      <w:r>
        <w:t xml:space="preserve">contain</w:t>
      </w:r>
      <w:r>
        <w:t xml:space="preserve"> </w:t>
      </w:r>
      <w:r>
        <w:t xml:space="preserve">updates</w:t>
      </w:r>
      <w:r>
        <w:t xml:space="preserve"> </w:t>
      </w:r>
      <w:r>
        <w:t xml:space="preserve">once</w:t>
      </w:r>
      <w:r>
        <w:t xml:space="preserve"> </w:t>
      </w:r>
      <w:r>
        <w:t xml:space="preserve">the</w:t>
      </w:r>
      <w:r>
        <w:t xml:space="preserve"> </w:t>
      </w:r>
      <w:r>
        <w:t xml:space="preserve">project</w:t>
      </w:r>
      <w:r>
        <w:t xml:space="preserve"> </w:t>
      </w:r>
      <w:r>
        <w:t xml:space="preserve">gets</w:t>
      </w:r>
      <w:r>
        <w:t xml:space="preserve"> </w:t>
      </w:r>
      <w:r>
        <w:t xml:space="preserve">into</w:t>
      </w:r>
      <w:r>
        <w:t xml:space="preserve"> </w:t>
      </w:r>
      <w:r>
        <w:t xml:space="preserve">full</w:t>
      </w:r>
      <w:r>
        <w:t xml:space="preserve"> </w:t>
      </w:r>
      <w:r>
        <w:t xml:space="preserve">swing</w:t>
      </w:r>
      <w:r>
        <w:t xml:space="preserve"> </w:t>
      </w:r>
      <w:r>
        <w:t xml:space="preserve">and</w:t>
      </w:r>
      <w:r>
        <w:t xml:space="preserve"> </w:t>
      </w:r>
      <w:r>
        <w:t xml:space="preserve">issues/comments</w:t>
      </w:r>
      <w:r>
        <w:t xml:space="preserve"> </w:t>
      </w:r>
      <w:r>
        <w:t xml:space="preserve">are</w:t>
      </w:r>
      <w:r>
        <w:t xml:space="preserve"> </w:t>
      </w:r>
      <w:r>
        <w:t xml:space="preserve">found</w:t>
      </w:r>
      <w:r>
        <w:t xml:space="preserve"> </w:t>
      </w:r>
      <w:r>
        <w:t xml:space="preserve">and</w:t>
      </w:r>
      <w:r>
        <w:t xml:space="preserve"> </w:t>
      </w:r>
      <w:r>
        <w:t xml:space="preserve">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any and all interested students in mathematics and statistics. There are two ways that accessibility can be defined in this context:</w:t>
      </w:r>
    </w:p>
    <w:p>
      <w:pPr>
        <w:numPr>
          <w:ilvl w:val="0"/>
          <w:numId w:val="1001"/>
        </w:numPr>
      </w:pPr>
      <w:r>
        <w:rPr>
          <w:b/>
          <w:bCs/>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
          <w:bCs/>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
          <w:bCs/>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
          <w:bCs/>
        </w:rPr>
        <w:t xml:space="preserve">the writing for this project will use the second-person singular</w:t>
      </w:r>
      <w:r>
        <w:rPr>
          <w:b/>
          <w:bCs/>
        </w:rPr>
        <w:t xml:space="preserve"> </w:t>
      </w:r>
      <w:r>
        <w:rPr>
          <w:b/>
          <w:bCs/>
        </w:rPr>
        <w:t xml:space="preserve">‘</w:t>
      </w:r>
      <w:r>
        <w:rPr>
          <w:b/>
          <w:bCs/>
        </w:rPr>
        <w:t xml:space="preserve">you</w:t>
      </w:r>
      <w:r>
        <w:rPr>
          <w:b/>
          <w:bCs/>
        </w:rPr>
        <w:t xml:space="preserve">’</w:t>
      </w:r>
      <w:r>
        <w:rPr>
          <w:b/>
          <w:bCs/>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
          <w:bCs/>
        </w:rPr>
        <w:t xml:space="preserve">nothing is easy</w:t>
      </w:r>
      <w:r>
        <w:t xml:space="preserve">. Not even things you learned in high school. Everyone has to start somewhere, and that somewhere might be here. A consequence of this is that</w:t>
      </w:r>
      <w:r>
        <w:t xml:space="preserve"> </w:t>
      </w:r>
      <w:r>
        <w:rPr>
          <w:i/>
          <w:iCs/>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ayout w:type="fixed"/>
        <w:tblLook w:firstRow="1" w:lastRow="0" w:firstColumn="0" w:lastColumn="0" w:noHBand="0" w:noVBand="0" w:val="0020"/>
        <w:tblCaption w:val="A list of banned words."/>
      </w:tblPr>
      <w:tblGrid>
        <w:gridCol w:w="1980"/>
        <w:gridCol w:w="1980"/>
        <w:gridCol w:w="1980"/>
        <w:gridCol w:w="1980"/>
      </w:tblGrid>
      <w:tr>
        <w:trPr>
          <w:tblHeader w:val="on"/>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Clear.</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
          <w:bCs/>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linguistic barriers to understanding; barriers which should not be in place when trying to learn mathematics. Therefore,</w:t>
      </w:r>
      <w:r>
        <w:t xml:space="preserve"> </w:t>
      </w:r>
      <w:r>
        <w:rPr>
          <w:b/>
          <w:bCs/>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
          <w:bCs/>
        </w:rPr>
        <w:t xml:space="preserve">avoid context</w:t>
      </w:r>
      <w:r>
        <w:t xml:space="preserve"> </w:t>
      </w:r>
      <w:r>
        <w:t xml:space="preserve">where possible.</w:t>
      </w:r>
    </w:p>
    <w:p>
      <w:pPr>
        <w:pStyle w:val="BodyText"/>
      </w:pPr>
      <w:r>
        <w:t xml:space="preserve">In general,</w:t>
      </w:r>
      <w:r>
        <w:t xml:space="preserve"> </w:t>
      </w:r>
      <w:r>
        <w:rPr>
          <w:b/>
          <w:bCs/>
        </w:rPr>
        <w:t xml:space="preserve">subject-specific examples are to be avoided</w:t>
      </w:r>
      <w:r>
        <w:t xml:space="preserve">. Remember that your reader could be of any background; so including (say) a physics problem may put readers off who have absolutely no knowledge of physics.</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
          <w:bCs/>
        </w:rPr>
        <w:t xml:space="preserve">summary</w:t>
      </w:r>
      <w:r>
        <w:t xml:space="preserve">: two to three lines about the material in the study guide.</w:t>
      </w:r>
    </w:p>
    <w:p>
      <w:pPr>
        <w:numPr>
          <w:ilvl w:val="0"/>
          <w:numId w:val="1002"/>
        </w:numPr>
      </w:pPr>
      <w:r>
        <w:t xml:space="preserve">(optional) a paragraph of</w:t>
      </w:r>
      <w:r>
        <w:t xml:space="preserve"> </w:t>
      </w:r>
      <w:r>
        <w:rPr>
          <w:b/>
          <w:bCs/>
        </w:rPr>
        <w:t xml:space="preserve">presumed knowledge</w:t>
      </w:r>
      <w:r>
        <w:t xml:space="preserve">: relating any presumed knowledge to the contents of the guide.</w:t>
      </w:r>
    </w:p>
    <w:p>
      <w:pPr>
        <w:numPr>
          <w:ilvl w:val="0"/>
          <w:numId w:val="1002"/>
        </w:numPr>
      </w:pPr>
      <w:r>
        <w:t xml:space="preserve">a paragraph-long</w:t>
      </w:r>
      <w:r>
        <w:t xml:space="preserve"> </w:t>
      </w:r>
      <w:r>
        <w:rPr>
          <w:b/>
          <w:bCs/>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
          <w:bCs/>
        </w:rPr>
        <w:t xml:space="preserve">guide</w:t>
      </w:r>
      <w:r>
        <w:t xml:space="preserve"> </w:t>
      </w:r>
      <w:r>
        <w:t xml:space="preserve">itself:</w:t>
      </w:r>
      <w:r>
        <w:t xml:space="preserve"> </w:t>
      </w:r>
      <w:r>
        <w:rPr>
          <w:b/>
          <w:bCs/>
        </w:rPr>
        <w:t xml:space="preserve">definitions</w:t>
      </w:r>
      <w:r>
        <w:t xml:space="preserve">,</w:t>
      </w:r>
      <w:r>
        <w:t xml:space="preserve"> </w:t>
      </w:r>
      <w:r>
        <w:rPr>
          <w:b/>
          <w:bCs/>
        </w:rPr>
        <w:t xml:space="preserve">examples</w:t>
      </w:r>
      <w:r>
        <w:t xml:space="preserve">,</w:t>
      </w:r>
      <w:r>
        <w:t xml:space="preserve"> </w:t>
      </w:r>
      <w:r>
        <w:rPr>
          <w:b/>
          <w:bCs/>
        </w:rPr>
        <w:t xml:space="preserve">results</w:t>
      </w:r>
      <w:r>
        <w:t xml:space="preserve">. Justification for the results should</w:t>
      </w:r>
      <w:r>
        <w:t xml:space="preserve"> </w:t>
      </w:r>
      <w:r>
        <w:rPr>
          <w:b/>
          <w:bCs/>
        </w:rPr>
        <w:t xml:space="preserve">not</w:t>
      </w:r>
      <w:r>
        <w:t xml:space="preserve"> </w:t>
      </w:r>
      <w:r>
        <w:t xml:space="preserve">be included in the main study guide, and instead be included in an</w:t>
      </w:r>
      <w:r>
        <w:t xml:space="preserve"> </w:t>
      </w:r>
      <w:r>
        <w:rPr>
          <w:i/>
          <w:iCs/>
        </w:rPr>
        <w:t xml:space="preserve">optional</w:t>
      </w:r>
      <w:r>
        <w:t xml:space="preserve"> </w:t>
      </w:r>
      <w:r>
        <w:t xml:space="preserve">proof sheet.</w:t>
      </w:r>
    </w:p>
    <w:p>
      <w:pPr>
        <w:numPr>
          <w:ilvl w:val="0"/>
          <w:numId w:val="1002"/>
        </w:numPr>
      </w:pPr>
      <w:r>
        <w:t xml:space="preserve">a</w:t>
      </w:r>
      <w:r>
        <w:t xml:space="preserve"> </w:t>
      </w:r>
      <w:r>
        <w:rPr>
          <w:b/>
          <w:bCs/>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a link to the questions, and (optionally) a list of guides for</w:t>
      </w:r>
      <w:r>
        <w:t xml:space="preserve"> </w:t>
      </w:r>
      <w:r>
        <w:rPr>
          <w:b/>
          <w:bCs/>
        </w:rPr>
        <w:t xml:space="preserve">further reading</w:t>
      </w:r>
    </w:p>
    <w:p>
      <w:pPr>
        <w:numPr>
          <w:ilvl w:val="0"/>
          <w:numId w:val="1002"/>
        </w:numPr>
      </w:pPr>
      <w:r>
        <w:t xml:space="preserve">a</w:t>
      </w:r>
      <w:r>
        <w:t xml:space="preserve"> </w:t>
      </w:r>
      <w:r>
        <w:rPr>
          <w:b/>
          <w:bCs/>
        </w:rPr>
        <w:t xml:space="preserve">version history</w:t>
      </w:r>
      <w:r>
        <w:t xml:space="preserve"> </w:t>
      </w:r>
      <w:r>
        <w:t xml:space="preserve">and</w:t>
      </w:r>
      <w:r>
        <w:t xml:space="preserve"> </w:t>
      </w:r>
      <w:r>
        <w:rPr>
          <w:b/>
          <w:bCs/>
        </w:rPr>
        <w:t xml:space="preserve">licensing information</w:t>
      </w:r>
      <w:r>
        <w:t xml:space="preserve">.</w:t>
      </w:r>
    </w:p>
    <w:p>
      <w:pPr>
        <w:pStyle w:val="FirstParagraph"/>
      </w:pPr>
      <w:r>
        <w:t xml:space="preserve">Of these, focus on number 4 first. The summary, presumed knowledge, and introduction should be written at the</w:t>
      </w:r>
      <w:r>
        <w:t xml:space="preserve"> </w:t>
      </w:r>
      <w:r>
        <w:rPr>
          <w:b/>
          <w:bCs/>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
          <w:bCs/>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
                <w:bCs/>
              </w:rPr>
              <w:t xml:space="preserve">property x</w:t>
            </w:r>
            <w:r>
              <w:t xml:space="preserve"> </w:t>
            </w:r>
            <w:r>
              <w:t xml:space="preserve">is bolded.</w:t>
            </w:r>
          </w:p>
        </w:tc>
      </w:tr>
    </w:tbl>
    <w:p>
      <w:pPr>
        <w:pStyle w:val="BodyText"/>
      </w:pPr>
      <w:r>
        <w:t xml:space="preserve"> </w:t>
      </w:r>
    </w:p>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FirstParagraph"/>
      </w:pPr>
      <w:r>
        <w:t xml:space="preserve"> </w:t>
      </w:r>
    </w:p>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BodyText"/>
      </w:pPr>
      <w:r>
        <w:t xml:space="preserve"> </w:t>
      </w:r>
    </w:p>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BodyText"/>
      </w:pPr>
      <w:r>
        <w:t xml:space="preserve"> </w:t>
      </w:r>
    </w:p>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 Depending on the subject at hand, a student should not need a pen and paper to do these questions</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
          <w:bCs/>
        </w:rPr>
        <w:t xml:space="preserve">summary</w:t>
      </w:r>
      <w:r>
        <w:t xml:space="preserve">: one line about the material in the questions.</w:t>
      </w:r>
    </w:p>
    <w:p>
      <w:pPr>
        <w:numPr>
          <w:ilvl w:val="0"/>
          <w:numId w:val="1005"/>
        </w:numPr>
      </w:pPr>
      <w:r>
        <w:t xml:space="preserve">A paragraph of</w:t>
      </w:r>
      <w:r>
        <w:t xml:space="preserve"> </w:t>
      </w:r>
      <w:r>
        <w:rPr>
          <w:b/>
          <w:bCs/>
        </w:rPr>
        <w:t xml:space="preserve">presumed knowledge</w:t>
      </w:r>
      <w:r>
        <w:t xml:space="preserve">: relating any presumed knowledge to the contents of the guide. A link to the study guide should always be included.</w:t>
      </w:r>
    </w:p>
    <w:p>
      <w:pPr>
        <w:numPr>
          <w:ilvl w:val="0"/>
          <w:numId w:val="1005"/>
        </w:numPr>
      </w:pPr>
      <w:r>
        <w:t xml:space="preserve">The</w:t>
      </w:r>
      <w:r>
        <w:t xml:space="preserve"> </w:t>
      </w:r>
      <w:r>
        <w:rPr>
          <w:b/>
          <w:bCs/>
        </w:rPr>
        <w:t xml:space="preserve">questions</w:t>
      </w:r>
      <w:r>
        <w:t xml:space="preserve"> </w:t>
      </w:r>
      <w:r>
        <w:t xml:space="preserve">themselves: aim for lots.</w:t>
      </w:r>
    </w:p>
    <w:p>
      <w:pPr>
        <w:numPr>
          <w:ilvl w:val="0"/>
          <w:numId w:val="1005"/>
        </w:numPr>
      </w:pPr>
      <w:r>
        <w:t xml:space="preserve">A</w:t>
      </w:r>
      <w:r>
        <w:t xml:space="preserve"> </w:t>
      </w:r>
      <w:r>
        <w:rPr>
          <w:b/>
          <w:bCs/>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answer set should have:</w:t>
      </w:r>
    </w:p>
    <w:p>
      <w:pPr>
        <w:numPr>
          <w:ilvl w:val="0"/>
          <w:numId w:val="1006"/>
        </w:numPr>
      </w:pPr>
      <w:r>
        <w:t xml:space="preserve">A</w:t>
      </w:r>
      <w:r>
        <w:t xml:space="preserve"> </w:t>
      </w:r>
      <w:r>
        <w:rPr>
          <w:b/>
          <w:bCs/>
        </w:rPr>
        <w:t xml:space="preserve">summary</w:t>
      </w:r>
      <w:r>
        <w:t xml:space="preserve">: one line about the material in the questions.</w:t>
      </w:r>
    </w:p>
    <w:p>
      <w:pPr>
        <w:numPr>
          <w:ilvl w:val="0"/>
          <w:numId w:val="1006"/>
        </w:numPr>
      </w:pPr>
      <w:r>
        <w:t xml:space="preserve">A paragraph of</w:t>
      </w:r>
      <w:r>
        <w:t xml:space="preserve"> </w:t>
      </w:r>
      <w:r>
        <w:rPr>
          <w:b/>
          <w:bCs/>
        </w:rPr>
        <w:t xml:space="preserve">presumed knowledge</w:t>
      </w:r>
      <w:r>
        <w:t xml:space="preserve">: relating any presumed knowledge to the contents of the guide. A link to the questions should always be included.</w:t>
      </w:r>
    </w:p>
    <w:p>
      <w:pPr>
        <w:numPr>
          <w:ilvl w:val="0"/>
          <w:numId w:val="1006"/>
        </w:numPr>
      </w:pPr>
      <w:r>
        <w:t xml:space="preserve">The</w:t>
      </w:r>
      <w:r>
        <w:t xml:space="preserve"> </w:t>
      </w:r>
      <w:r>
        <w:rPr>
          <w:b/>
          <w:bCs/>
        </w:rPr>
        <w:t xml:space="preserve">answers</w:t>
      </w:r>
      <w:r>
        <w:t xml:space="preserve"> </w:t>
      </w:r>
      <w:r>
        <w:t xml:space="preserve">themselves: only minimal explanation is needed, if any.</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3"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emphasize using bold text only.</w:t>
      </w:r>
    </w:p>
    <w:p>
      <w:pPr>
        <w:numPr>
          <w:ilvl w:val="0"/>
          <w:numId w:val="1008"/>
        </w:numPr>
      </w:pPr>
      <w:r>
        <w:t xml:space="preserve">Be careful with the phrase</w:t>
      </w:r>
      <w:r>
        <w:t xml:space="preserve"> </w:t>
      </w:r>
      <w:r>
        <w:t xml:space="preserve">‘</w:t>
      </w:r>
      <w:r>
        <w:t xml:space="preserve">the same method</w:t>
      </w:r>
      <w:r>
        <w:t xml:space="preserve">’</w:t>
      </w:r>
      <w:r>
        <w:t xml:space="preserve">. If your method differs by even a little, it will</w:t>
      </w:r>
      <w:r>
        <w:t xml:space="preserve"> </w:t>
      </w:r>
      <w:r>
        <w:rPr>
          <w:b/>
          <w:bCs/>
        </w:rPr>
        <w:t xml:space="preserve">not</w:t>
      </w:r>
      <w:r>
        <w:t xml:space="preserve"> </w:t>
      </w:r>
      <w:r>
        <w:t xml:space="preserve">be the same method. Consider using</w:t>
      </w:r>
      <w:r>
        <w:t xml:space="preserve"> </w:t>
      </w:r>
      <w:r>
        <w:t xml:space="preserve">‘</w:t>
      </w:r>
      <w:r>
        <w:t xml:space="preserve">a similar method</w:t>
      </w:r>
      <w:r>
        <w:t xml:space="preserve">’</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p>
      <w:pPr>
        <w:numPr>
          <w:ilvl w:val="0"/>
          <w:numId w:val="1008"/>
        </w:numPr>
      </w:pPr>
      <w:r>
        <w:t xml:space="preserve">Avoid</w:t>
      </w:r>
      <w:r>
        <w:t xml:space="preserve"> </w:t>
      </w:r>
      <w:r>
        <w:t xml:space="preserve">‘</w:t>
      </w:r>
      <w:r>
        <w:t xml:space="preserve">maths comma maths</w:t>
      </w:r>
      <w:r>
        <w:t xml:space="preserve">’</w:t>
      </w:r>
      <w:r>
        <w:t xml:space="preserve">; otherwise the comma looks like part of the maths!</w:t>
      </w:r>
    </w:p>
    <w:bookmarkEnd w:id="52"/>
    <w:bookmarkStart w:id="53" w:name="english"/>
    <w:p>
      <w:pPr>
        <w:pStyle w:val="Heading2"/>
      </w:pPr>
      <w:r>
        <w:t xml:space="preserve">English</w:t>
      </w:r>
    </w:p>
    <w:p>
      <w:pPr>
        <w:numPr>
          <w:ilvl w:val="0"/>
          <w:numId w:val="1009"/>
        </w:numPr>
      </w:pPr>
      <w:r>
        <w:t xml:space="preserve">For consistency, please use -ize rather than -ise</w:t>
      </w:r>
    </w:p>
    <w:p>
      <w:pPr>
        <w:numPr>
          <w:ilvl w:val="0"/>
          <w:numId w:val="1009"/>
        </w:numPr>
      </w:pPr>
      <w:r>
        <w:t xml:space="preserve">No Latin phrases please (includes i.e. and e.g.)</w:t>
      </w:r>
    </w:p>
    <w:p>
      <w:pPr>
        <w:numPr>
          <w:ilvl w:val="0"/>
          <w:numId w:val="1009"/>
        </w:numPr>
      </w:pPr>
      <w:r>
        <w:t xml:space="preserve">Title should be avoided; so write titles like you would write sentences.</w:t>
      </w:r>
    </w:p>
    <w:bookmarkEnd w:id="53"/>
    <w:bookmarkStart w:id="54" w:name="maths"/>
    <w:p>
      <w:pPr>
        <w:pStyle w:val="Heading2"/>
      </w:pPr>
      <w:r>
        <w:t xml:space="preserve">Maths</w:t>
      </w:r>
    </w:p>
    <w:p>
      <w:pPr>
        <w:numPr>
          <w:ilvl w:val="0"/>
          <w:numId w:val="1010"/>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10"/>
        </w:numPr>
      </w:pPr>
      <w:r>
        <w:t xml:space="preserve">Use</w:t>
      </w:r>
      <w:r>
        <w:t xml:space="preserve"> </w:t>
      </w:r>
      <m:oMath>
        <m:r>
          <m:rPr>
            <m:sty m:val="p"/>
          </m:rPr>
          <m:t>ln</m:t>
        </m:r>
      </m:oMath>
      <w:r>
        <w:t xml:space="preserve"> </w:t>
      </w:r>
      <w:r>
        <w:t xml:space="preserve">for the natural logarithm.</w:t>
      </w:r>
    </w:p>
    <w:p>
      <w:pPr>
        <w:numPr>
          <w:ilvl w:val="0"/>
          <w:numId w:val="1010"/>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p>
      <w:pPr>
        <w:numPr>
          <w:ilvl w:val="0"/>
          <w:numId w:val="1010"/>
        </w:numPr>
      </w:pPr>
      <w:r>
        <w:t xml:space="preserve">No mixed fractions.</w:t>
      </w:r>
    </w:p>
    <w:p>
      <w:pPr>
        <w:numPr>
          <w:ilvl w:val="0"/>
          <w:numId w:val="1010"/>
        </w:numPr>
      </w:pPr>
      <w:r>
        <w:t xml:space="preserve">No implied signs.</w:t>
      </w:r>
    </w:p>
    <w:p>
      <w:pPr>
        <w:numPr>
          <w:ilvl w:val="0"/>
          <w:numId w:val="1010"/>
        </w:numPr>
      </w:pPr>
      <w:r>
        <w:t xml:space="preserve">Do not use</w:t>
      </w:r>
      <w:r>
        <w:t xml:space="preserve"> </w:t>
      </w:r>
      <m:oMath>
        <m:r>
          <m:rPr>
            <m:sty m:val="p"/>
          </m:rPr>
          <m:t>×</m:t>
        </m:r>
      </m:oMath>
      <w:r>
        <w:t xml:space="preserve"> </w:t>
      </w:r>
      <w:r>
        <w:t xml:space="preserve">for times; using brackets or</w:t>
      </w:r>
      <w:r>
        <w:t xml:space="preserve"> </w:t>
      </w:r>
      <m:oMath>
        <m:r>
          <m:rPr>
            <m:sty m:val="p"/>
          </m:rPr>
          <m:t>⋅</m:t>
        </m:r>
      </m:oMath>
      <w:r>
        <w:t xml:space="preserve">.</w:t>
      </w:r>
    </w:p>
    <w:bookmarkEnd w:id="54"/>
    <w:bookmarkStart w:id="55" w:name="other"/>
    <w:p>
      <w:pPr>
        <w:pStyle w:val="Heading2"/>
      </w:pPr>
      <w:r>
        <w:t xml:space="preserve">Other</w:t>
      </w:r>
    </w:p>
    <w:p>
      <w:pPr>
        <w:pStyle w:val="FirstParagraph"/>
      </w:pPr>
      <w:r>
        <w:t xml:space="preserve">Always include a further reading and version history segment at end of each guide.</w:t>
      </w:r>
    </w:p>
    <w:bookmarkEnd w:id="55"/>
    <w:bookmarkStart w:id="62" w:name="resources"/>
    <w:p>
      <w:pPr>
        <w:pStyle w:val="Heading2"/>
      </w:pPr>
      <w:r>
        <w:t xml:space="preserve">Resources</w:t>
      </w:r>
    </w:p>
    <w:p>
      <w:pPr>
        <w:numPr>
          <w:ilvl w:val="0"/>
          <w:numId w:val="1011"/>
        </w:numPr>
      </w:pPr>
      <w:hyperlink r:id="rId56">
        <w:r>
          <w:rPr>
            <w:rStyle w:val="Hyperlink"/>
          </w:rPr>
          <w:t xml:space="preserve">UK Government guidance on producing accessible documents</w:t>
        </w:r>
      </w:hyperlink>
    </w:p>
    <w:p>
      <w:pPr>
        <w:numPr>
          <w:ilvl w:val="0"/>
          <w:numId w:val="1011"/>
        </w:numPr>
      </w:pPr>
      <w:hyperlink r:id="rId57">
        <w:r>
          <w:rPr>
            <w:rStyle w:val="Hyperlink"/>
          </w:rPr>
          <w:t xml:space="preserve">Web AIM, promoting web accessibility</w:t>
        </w:r>
      </w:hyperlink>
    </w:p>
    <w:p>
      <w:pPr>
        <w:numPr>
          <w:ilvl w:val="0"/>
          <w:numId w:val="1011"/>
        </w:numPr>
      </w:pPr>
      <w:hyperlink r:id="rId58">
        <w:r>
          <w:rPr>
            <w:rStyle w:val="Hyperlink"/>
          </w:rPr>
          <w:t xml:space="preserve">British Dyslexic Association style guide</w:t>
        </w:r>
      </w:hyperlink>
    </w:p>
    <w:p>
      <w:pPr>
        <w:numPr>
          <w:ilvl w:val="0"/>
          <w:numId w:val="1011"/>
        </w:numPr>
      </w:pPr>
      <w:hyperlink r:id="rId59">
        <w:r>
          <w:rPr>
            <w:rStyle w:val="Hyperlink"/>
          </w:rPr>
          <w:t xml:space="preserve">London Mathematical Society: Mathematics and Accessibility</w:t>
        </w:r>
      </w:hyperlink>
    </w:p>
    <w:p>
      <w:pPr>
        <w:numPr>
          <w:ilvl w:val="0"/>
          <w:numId w:val="1011"/>
        </w:numPr>
      </w:pPr>
      <w:hyperlink r:id="rId60">
        <w:r>
          <w:rPr>
            <w:rStyle w:val="Hyperlink"/>
          </w:rPr>
          <w:t xml:space="preserve">Make Things Accessible: Accessible STEMM introduction</w:t>
        </w:r>
      </w:hyperlink>
    </w:p>
    <w:p>
      <w:pPr>
        <w:numPr>
          <w:ilvl w:val="0"/>
          <w:numId w:val="1011"/>
        </w:numPr>
      </w:pPr>
      <w:hyperlink r:id="rId61">
        <w:r>
          <w:rPr>
            <w:rStyle w:val="Hyperlink"/>
          </w:rPr>
          <w:t xml:space="preserve">Symbols guide - inspiration for ours!</w:t>
        </w:r>
      </w:hyperlink>
    </w:p>
    <w:bookmarkEnd w:id="62"/>
    <w:bookmarkEnd w:id="63"/>
    <w:bookmarkStart w:id="69" w:name="inspiration-station"/>
    <w:p>
      <w:pPr>
        <w:pStyle w:val="Heading1"/>
      </w:pPr>
      <w:r>
        <w:t xml:space="preserve">Inspiration station</w:t>
      </w:r>
    </w:p>
    <w:bookmarkStart w:id="67" w:name="question-words"/>
    <w:p>
      <w:pPr>
        <w:pStyle w:val="Heading2"/>
      </w:pPr>
      <w:r>
        <w:t xml:space="preserve">Question words</w:t>
      </w:r>
    </w:p>
    <w:p>
      <w:pPr>
        <w:pStyle w:val="FirstParagraph"/>
      </w:pPr>
      <w:r>
        <w:t xml:space="preserve">Question words</w:t>
      </w:r>
    </w:p>
    <w:p>
      <w:pPr>
        <w:numPr>
          <w:ilvl w:val="0"/>
          <w:numId w:val="1012"/>
        </w:numPr>
      </w:pPr>
      <w:r>
        <w:t xml:space="preserve">Prove that…</w:t>
      </w:r>
    </w:p>
    <w:p>
      <w:pPr>
        <w:numPr>
          <w:ilvl w:val="0"/>
          <w:numId w:val="1012"/>
        </w:numPr>
      </w:pPr>
      <w:r>
        <w:t xml:space="preserve">Verify that…</w:t>
      </w:r>
    </w:p>
    <w:p>
      <w:pPr>
        <w:numPr>
          <w:ilvl w:val="0"/>
          <w:numId w:val="1012"/>
        </w:numPr>
      </w:pPr>
      <w:r>
        <w:t xml:space="preserve">Evaluate…</w:t>
      </w:r>
    </w:p>
    <w:p>
      <w:pPr>
        <w:numPr>
          <w:ilvl w:val="0"/>
          <w:numId w:val="1012"/>
        </w:numPr>
      </w:pPr>
      <w:r>
        <w:t xml:space="preserve">Show that…</w:t>
      </w:r>
    </w:p>
    <w:p>
      <w:pPr>
        <w:numPr>
          <w:ilvl w:val="0"/>
          <w:numId w:val="1012"/>
        </w:numPr>
      </w:pPr>
      <w:r>
        <w:t xml:space="preserve">Calculate…</w:t>
      </w:r>
    </w:p>
    <w:p>
      <w:pPr>
        <w:numPr>
          <w:ilvl w:val="0"/>
          <w:numId w:val="1012"/>
        </w:numPr>
      </w:pPr>
      <w:r>
        <w:t xml:space="preserve">Find…</w:t>
      </w:r>
    </w:p>
    <w:p>
      <w:pPr>
        <w:numPr>
          <w:ilvl w:val="0"/>
          <w:numId w:val="1012"/>
        </w:numPr>
      </w:pPr>
      <w:r>
        <w:t xml:space="preserve">Exhibit…</w:t>
      </w:r>
    </w:p>
    <w:p>
      <w:pPr>
        <w:numPr>
          <w:ilvl w:val="0"/>
          <w:numId w:val="1012"/>
        </w:numPr>
      </w:pPr>
      <w:r>
        <w:t xml:space="preserve">Describe…</w:t>
      </w:r>
    </w:p>
    <w:p>
      <w:pPr>
        <w:numPr>
          <w:ilvl w:val="0"/>
          <w:numId w:val="1012"/>
        </w:numPr>
      </w:pPr>
      <w:r>
        <w:t xml:space="preserve">Sketch…</w:t>
      </w:r>
    </w:p>
    <w:p>
      <w:pPr>
        <w:numPr>
          <w:ilvl w:val="0"/>
          <w:numId w:val="1012"/>
        </w:numPr>
      </w:pPr>
      <w:r>
        <w:t xml:space="preserve">Compute…</w:t>
      </w:r>
    </w:p>
    <w:p>
      <w:pPr>
        <w:numPr>
          <w:ilvl w:val="0"/>
          <w:numId w:val="1012"/>
        </w:numPr>
      </w:pPr>
      <w:r>
        <w:t xml:space="preserve">Deduce…</w:t>
      </w:r>
    </w:p>
    <w:p>
      <w:pPr>
        <w:numPr>
          <w:ilvl w:val="0"/>
          <w:numId w:val="1012"/>
        </w:numPr>
      </w:pPr>
      <w:r>
        <w:t xml:space="preserve">Calculate…</w:t>
      </w:r>
    </w:p>
    <w:p>
      <w:pPr>
        <w:numPr>
          <w:ilvl w:val="0"/>
          <w:numId w:val="1012"/>
        </w:numPr>
      </w:pPr>
      <w:r>
        <w:t xml:space="preserve">Explain…</w:t>
      </w:r>
    </w:p>
    <w:p>
      <w:pPr>
        <w:numPr>
          <w:ilvl w:val="0"/>
          <w:numId w:val="1012"/>
        </w:numPr>
      </w:pPr>
      <w:r>
        <w:t xml:space="preserve">Justify…</w:t>
      </w:r>
    </w:p>
    <w:p>
      <w:pPr>
        <w:numPr>
          <w:ilvl w:val="0"/>
          <w:numId w:val="1012"/>
        </w:numPr>
      </w:pPr>
      <w:r>
        <w:t xml:space="preserve">Conclude…</w:t>
      </w:r>
    </w:p>
    <w:p>
      <w:pPr>
        <w:numPr>
          <w:ilvl w:val="0"/>
          <w:numId w:val="1012"/>
        </w:numPr>
      </w:pPr>
      <w:r>
        <w:t xml:space="preserve">Is this true? Or false?</w:t>
      </w:r>
    </w:p>
    <w:p>
      <w:pPr>
        <w:numPr>
          <w:ilvl w:val="0"/>
          <w:numId w:val="1012"/>
        </w:numPr>
      </w:pPr>
      <w:r>
        <w:t xml:space="preserve">Using X or otherwise…</w:t>
      </w:r>
    </w:p>
    <w:p>
      <w:pPr>
        <w:numPr>
          <w:ilvl w:val="0"/>
          <w:numId w:val="1012"/>
        </w:numPr>
      </w:pPr>
      <w:r>
        <w:t xml:space="preserve">Define…</w:t>
      </w:r>
    </w:p>
    <w:p>
      <w:pPr>
        <w:numPr>
          <w:ilvl w:val="0"/>
          <w:numId w:val="1012"/>
        </w:numPr>
      </w:pPr>
      <w:r>
        <w:t xml:space="preserve">State…</w:t>
      </w:r>
    </w:p>
    <w:p>
      <w:pPr>
        <w:pStyle w:val="CaptionedFigure"/>
      </w:pPr>
      <w:r>
        <w:drawing>
          <wp:inline>
            <wp:extent cx="608580" cy="773723"/>
            <wp:effectExtent b="0" l="0" r="0" t="0"/>
            <wp:docPr descr="Hello" title="" id="65" name="Picture"/>
            <a:graphic>
              <a:graphicData uri="http://schemas.openxmlformats.org/drawingml/2006/picture">
                <pic:pic>
                  <pic:nvPicPr>
                    <pic:cNvPr descr="logo50mm.png" id="66" name="Picture"/>
                    <pic:cNvPicPr>
                      <a:picLocks noChangeArrowheads="1" noChangeAspect="1"/>
                    </pic:cNvPicPr>
                  </pic:nvPicPr>
                  <pic:blipFill>
                    <a:blip r:embed="rId64"/>
                    <a:stretch>
                      <a:fillRect/>
                    </a:stretch>
                  </pic:blipFill>
                  <pic:spPr bwMode="auto">
                    <a:xfrm>
                      <a:off x="0" y="0"/>
                      <a:ext cx="608580" cy="773723"/>
                    </a:xfrm>
                    <a:prstGeom prst="rect">
                      <a:avLst/>
                    </a:prstGeom>
                    <a:noFill/>
                    <a:ln w="9525">
                      <a:noFill/>
                      <a:headEnd/>
                      <a:tailEnd/>
                    </a:ln>
                  </pic:spPr>
                </pic:pic>
              </a:graphicData>
            </a:graphic>
          </wp:inline>
        </w:drawing>
      </w:r>
    </w:p>
    <w:p>
      <w:pPr>
        <w:pStyle w:val="ImageCaption"/>
      </w:pPr>
      <w:r>
        <w:t xml:space="preserve">Hello</w:t>
      </w:r>
    </w:p>
    <w:bookmarkEnd w:id="67"/>
    <w:bookmarkStart w:id="68" w:name="version-history"/>
    <w:p>
      <w:pPr>
        <w:pStyle w:val="Heading2"/>
      </w:pPr>
      <w:r>
        <w:t xml:space="preserve">Version history</w:t>
      </w:r>
    </w:p>
    <w:p>
      <w:pPr>
        <w:pStyle w:val="FirstParagraph"/>
      </w:pPr>
      <w:r>
        <w:t xml:space="preserve">v1.0: initial version created 05/23 by tdhc.</w:t>
      </w:r>
    </w:p>
    <w:p>
      <w:pPr>
        <w:pStyle w:val="Compact"/>
        <w:numPr>
          <w:ilvl w:val="0"/>
          <w:numId w:val="1013"/>
        </w:numPr>
      </w:pPr>
      <w:r>
        <w:t xml:space="preserve">v1.1: edited 06/24 by tdhc.</w:t>
      </w:r>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64" Target="media/rId64.png" /><Relationship Type="http://schemas.openxmlformats.org/officeDocument/2006/relationships/hyperlink" Id="rId58" Target="https://cdn.bdadyslexia.org.uk/uploads/documents/Advice/style-guide/BDA-Style-Guide-2023.pdf?v=1680514568" TargetMode="External" /><Relationship Type="http://schemas.openxmlformats.org/officeDocument/2006/relationships/hyperlink" Id="rId61"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7" Target="https://webaim.org/"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9" Target="https://www.lms.ac.uk/policy/mathematics-and-accessibility" TargetMode="External" /><Relationship Type="http://schemas.openxmlformats.org/officeDocument/2006/relationships/hyperlink" Id="rId60"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8" Target="https://cdn.bdadyslexia.org.uk/uploads/documents/Advice/style-guide/BDA-Style-Guide-2023.pdf?v=1680514568" TargetMode="External" /><Relationship Type="http://schemas.openxmlformats.org/officeDocument/2006/relationships/hyperlink" Id="rId61"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7" Target="https://webaim.org/"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9" Target="https://www.lms.ac.uk/policy/mathematics-and-accessibility" TargetMode="External" /><Relationship Type="http://schemas.openxmlformats.org/officeDocument/2006/relationships/hyperlink" Id="rId60"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2025-03-28T17:30:38Z</dcterms:created>
  <dcterms:modified xsi:type="dcterms:W3CDTF">2025-03-28T17:30:38Z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