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2D Conic Sections Fact Sheet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 sheet provides an overview of 2D conic sections, including general equations, discriminants, types of conics, standard forms, key features, and labeled graphs.</w:t>
      </w:r>
    </w:p>
    <w:bookmarkStart w:id="10" w:name="general-quadratic-equation-for-conics"/>
    <w:p>
      <w:pPr>
        <w:pStyle w:val="Heading1"/>
      </w:pPr>
      <w:r>
        <w:t xml:space="preserve">General Quadratic Equation for Conics</w:t>
      </w:r>
    </w:p>
    <w:p>
      <w:pPr>
        <w:pStyle w:val="FirstParagraph"/>
      </w:pPr>
      <w:r>
        <w:t xml:space="preserve">A conic section can be represented algebraically by the</w:t>
      </w:r>
      <w:r>
        <w:t xml:space="preserve"> </w:t>
      </w:r>
      <w:r>
        <w:rPr>
          <w:b/>
          <w:bCs/>
        </w:rPr>
        <w:t xml:space="preserve">general quadratic equation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E</m:t>
          </m:r>
          <m:r>
            <m:t>y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Start w:id="9" w:name="discriminant-and-conic-type"/>
    <w:p>
      <w:pPr>
        <w:pStyle w:val="Heading3"/>
      </w:pPr>
      <w:r>
        <w:t xml:space="preserve">Discriminant and Conic Type</w:t>
      </w:r>
    </w:p>
    <w:p>
      <w:pPr>
        <w:pStyle w:val="FirstParagraph"/>
      </w:pPr>
      <w:r>
        <w:t xml:space="preserve">The discriminant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t>A</m:t>
          </m:r>
          <m:r>
            <m:t>C</m:t>
          </m:r>
        </m:oMath>
      </m:oMathPara>
    </w:p>
    <w:p>
      <w:pPr>
        <w:pStyle w:val="FirstParagraph"/>
      </w:pPr>
      <w:r>
        <w:t xml:space="preserve">Use this to classify the conic: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Discriminant</w:t>
            </w:r>
          </w:p>
        </w:tc>
        <w:tc>
          <w:tcPr/>
          <w:p>
            <w:pPr>
              <w:pStyle w:val="Compact"/>
            </w:pPr>
            <w:r>
              <w:t xml:space="preserve">Conic 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w:r>
              <w:t xml:space="preserve">Circle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5" w:name="conic-sections"/>
    <w:p>
      <w:pPr>
        <w:pStyle w:val="Heading1"/>
      </w:pPr>
      <w:r>
        <w:t xml:space="preserve">Conic Sections</w:t>
      </w:r>
    </w:p>
    <w:bookmarkStart w:id="11" w:name="circle"/>
    <w:p>
      <w:pPr>
        <w:pStyle w:val="Heading2"/>
      </w:pPr>
      <w:r>
        <w:t xml:space="preserve">Circle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h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1"/>
        </w:numPr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r>
        <w:t xml:space="preserve">Radius:</w:t>
      </w:r>
      <w:r>
        <w:t xml:space="preserve"> </w:t>
      </w:r>
      <m:oMath>
        <m:r>
          <m:t>r</m:t>
        </m:r>
      </m:oMath>
    </w:p>
    <w:p>
      <w:r>
        <w:pict>
          <v:rect style="width:0;height:1.5pt" o:hralign="center" o:hrstd="t" o:hr="t"/>
        </w:pict>
      </w:r>
    </w:p>
    <w:bookmarkEnd w:id="11"/>
    <w:bookmarkStart w:id="12" w:name="ellipse"/>
    <w:p>
      <w:pPr>
        <w:pStyle w:val="Heading2"/>
      </w:pPr>
      <w:r>
        <w:t xml:space="preserve">Ellipse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&gt;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2"/>
        </w:numPr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2"/>
        </w:numPr>
      </w:pPr>
      <w:r>
        <w:t xml:space="preserve">Semi-major axis: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2"/>
        </w:numPr>
      </w:pPr>
      <w:r>
        <w:t xml:space="preserve">Semi-minor axis:</w:t>
      </w:r>
      <w:r>
        <w:t xml:space="preserve"> </w:t>
      </w:r>
      <m:oMath>
        <m:r>
          <m:t>b</m:t>
        </m:r>
      </m:oMath>
    </w:p>
    <w:p>
      <w:pPr>
        <w:pStyle w:val="Compact"/>
        <w:numPr>
          <w:ilvl w:val="0"/>
          <w:numId w:val="1002"/>
        </w:numPr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horizontal ellipse,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vertical, where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r>
        <w:pict>
          <v:rect style="width:0;height:1.5pt" o:hralign="center" o:hrstd="t" o:hr="t"/>
        </w:pict>
      </w:r>
    </w:p>
    <w:bookmarkEnd w:id="12"/>
    <w:bookmarkStart w:id="13" w:name="parabola"/>
    <w:p>
      <w:pPr>
        <w:pStyle w:val="Heading2"/>
      </w:pPr>
      <w:r>
        <w:t xml:space="preserve">Parabola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3"/>
        </w:numPr>
      </w:pPr>
      <w:r>
        <w:t xml:space="preserve">Vertical: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Horizontal: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k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4"/>
        </w:numPr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p</m:t>
        </m:r>
      </m:oMath>
    </w:p>
    <w:p>
      <w:pPr>
        <w:pStyle w:val="Compact"/>
        <w:numPr>
          <w:ilvl w:val="0"/>
          <w:numId w:val="1004"/>
        </w:numPr>
      </w:pPr>
      <w:r>
        <w:t xml:space="preserve">Axis of symmetry: passes through vertex and focus</w:t>
      </w:r>
    </w:p>
    <w:p>
      <w:r>
        <w:pict>
          <v:rect style="width:0;height:1.5pt" o:hralign="center" o:hrstd="t" o:hr="t"/>
        </w:pict>
      </w:r>
    </w:p>
    <w:bookmarkEnd w:id="13"/>
    <w:bookmarkStart w:id="14" w:name="hyperbola"/>
    <w:p>
      <w:pPr>
        <w:pStyle w:val="Heading2"/>
      </w:pPr>
      <w:r>
        <w:t xml:space="preserve">Hyperbola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5"/>
        </w:numPr>
      </w:pPr>
      <w:r>
        <w:t xml:space="preserve">Horizontal: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Vertical: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6"/>
        </w:numPr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±</m:t>
        </m:r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±</m:t>
        </m:r>
        <m:r>
          <m:t>a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06"/>
        </w:numPr>
      </w:pPr>
      <w:r>
        <w:t xml:space="preserve">Asymptotes: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b</m:t>
            </m:r>
          </m:num>
          <m:den>
            <m:r>
              <m:t>a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(horizontal),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(vertical)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quick-reference-table"/>
    <w:p>
      <w:pPr>
        <w:pStyle w:val="Heading1"/>
      </w:pPr>
      <w:r>
        <w:t xml:space="preserve">Quick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330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Conic</w:t>
            </w:r>
          </w:p>
        </w:tc>
        <w:tc>
          <w:tcPr/>
          <w:p>
            <w:pPr>
              <w:pStyle w:val="Compact"/>
            </w:pPr>
            <w:r>
              <w:t xml:space="preserve">Standard Form</w:t>
            </w:r>
          </w:p>
        </w:tc>
        <w:tc>
          <w:tcPr/>
          <w:p>
            <w:pPr>
              <w:pStyle w:val="Compact"/>
            </w:pPr>
            <w:r>
              <w:t xml:space="preserve">Key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Circle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Centre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 radius</w:t>
            </w:r>
            <w:r>
              <w:t xml:space="preserve"> </w:t>
            </w:r>
            <m:oMath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axes, foci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Vertex, focus, directrix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vertices, foci, asymptotes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Interactive Desmos graphs for visualization</w:t>
      </w:r>
    </w:p>
    <w:p>
      <w:pPr>
        <w:pStyle w:val="Compact"/>
        <w:numPr>
          <w:ilvl w:val="0"/>
          <w:numId w:val="1007"/>
        </w:numPr>
      </w:pPr>
      <w:r>
        <w:t xml:space="preserve">Geometry textbooks on conic sections</w:t>
      </w:r>
    </w:p>
    <w:bookmarkStart w:id="1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17">
        <w:r>
          <w:rPr>
            <w:rStyle w:val="Hyperlink"/>
          </w:rPr>
          <w:t xml:space="preserve">This work is licensed under CC BY-NC-SA 4.0.</w:t>
        </w:r>
      </w:hyperlink>
    </w:p>
    <w:bookmarkEnd w:id="18"/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2D Conic Sections Fact Sheet</dc:title>
  <dc:creator>Abigail Carpenter</dc:creator>
  <cp:keywords/>
  <dcterms:created xsi:type="dcterms:W3CDTF">2026-09-02T13:05:55Z</dcterms:created>
  <dcterms:modified xsi:type="dcterms:W3CDTF">2026-09-02T13:05:55Z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 sheet provides an overview of 2D conic sections, including general equations, discriminants, types of conics, standard forms, key features, and labeled graphs.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