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Questions: Further sigma notation</w:t>
      </w:r>
    </w:p>
    <w:p>
      <w:pPr>
        <w:pStyle w:val="Author"/>
      </w:pPr>
      <w:r>
        <w:t xml:space="preserve">Ifan Howells-Baines, Mark Toner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Questions relating to the guide on sigma notation</w:t>
      </w:r>
    </w:p>
    <w:p>
      <w:pPr>
        <w:pStyle w:val="FirstParagraph"/>
      </w:pPr>
      <w:r>
        <w:rPr>
          <w:i/>
          <w:iCs/>
        </w:rPr>
        <w:t xml:space="preserve">Before attempting these questions, it is highly recommended that you read</w:t>
      </w:r>
      <w:r>
        <w:rPr>
          <w:i/>
          <w:iCs/>
        </w:rPr>
        <w:t xml:space="preserve"> </w:t>
      </w:r>
      <w:hyperlink r:id="rId9">
        <w:r>
          <w:rPr>
            <w:rStyle w:val="Hyperlink"/>
            <w:i/>
            <w:iCs/>
          </w:rPr>
          <w:t xml:space="preserve">Guide: Introduction to sigma notation</w:t>
        </w:r>
      </w:hyperlink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hyperlink r:id="rId10">
        <w:r>
          <w:rPr>
            <w:rStyle w:val="Hyperlink"/>
            <w:i/>
            <w:iCs/>
          </w:rPr>
          <w:t xml:space="preserve">Guide: Further sigma notation</w:t>
        </w:r>
      </w:hyperlink>
      <w:r>
        <w:rPr>
          <w:i/>
          <w:iCs/>
        </w:rPr>
        <w:t xml:space="preserve">.</w:t>
      </w:r>
    </w:p>
    <w:bookmarkStart w:id="11" w:name="q1"/>
    <w:p>
      <w:pPr>
        <w:pStyle w:val="Heading2"/>
      </w:pPr>
      <w:r>
        <w:t xml:space="preserve">Q1</w:t>
      </w:r>
    </w:p>
    <w:p>
      <w:pPr>
        <w:pStyle w:val="FirstParagraph"/>
      </w:pPr>
      <w:r>
        <w:t xml:space="preserve">Simplify the following double sums by writing them as products as sums and applying the properties of sums</w:t>
      </w:r>
    </w:p>
    <w:p>
      <w:pPr>
        <w:pStyle w:val="BodyText"/>
      </w:pPr>
      <w:r>
        <w:t xml:space="preserve">4.1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8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3</m:t>
                  </m:r>
                </m:sub>
                <m:sup>
                  <m:r>
                    <m:t>6</m:t>
                  </m:r>
                </m:sup>
                <m:e>
                  <m:r>
                    <m:t>3</m:t>
                  </m:r>
                </m:e>
              </m:nary>
            </m:e>
          </m:nary>
          <m:r>
            <m:t>i</m:t>
          </m:r>
          <m:sSup>
            <m:e>
              <m:r>
                <m:t>j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4.2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t>i</m:t>
                  </m:r>
                </m:e>
              </m:nary>
            </m:e>
          </m:nary>
          <m:r>
            <m:rPr>
              <m:sty m:val="p"/>
            </m:rPr>
            <m:t>(</m:t>
          </m:r>
          <m:r>
            <m:t>j</m:t>
          </m:r>
          <m:r>
            <m:rPr>
              <m:sty m:val="p"/>
            </m:rPr>
            <m:t>+</m:t>
          </m:r>
          <m:r>
            <m:t>5</m:t>
          </m:r>
          <m:r>
            <m:rPr>
              <m:sty m:val="p"/>
            </m:rPr>
            <m:t>)</m:t>
          </m:r>
        </m:oMath>
      </m:oMathPara>
    </w:p>
    <w:bookmarkEnd w:id="11"/>
    <w:bookmarkStart w:id="12" w:name="q2"/>
    <w:p>
      <w:pPr>
        <w:pStyle w:val="Heading2"/>
      </w:pPr>
      <w:r>
        <w:t xml:space="preserve">Q2</w:t>
      </w:r>
    </w:p>
    <w:p>
      <w:pPr>
        <w:pStyle w:val="FirstParagraph"/>
      </w:pPr>
      <w:r>
        <w:t xml:space="preserve">Express the following as double sums in their simplest possible form.</w:t>
      </w:r>
    </w:p>
    <w:p>
      <w:pPr>
        <w:pStyle w:val="BodyText"/>
      </w:pPr>
      <w:r>
        <w:t xml:space="preserve">5.1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+</m:t>
          </m:r>
          <m:r>
            <m:t>9</m:t>
          </m:r>
          <m:r>
            <m:rPr>
              <m:sty m:val="p"/>
            </m:rPr>
            <m:t>+</m:t>
          </m:r>
          <m:r>
            <m:t>27</m:t>
          </m:r>
          <m:r>
            <m:rPr>
              <m:sty m:val="p"/>
            </m:rPr>
            <m:t>+</m:t>
          </m:r>
          <m:r>
            <m:t>81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8</m:t>
          </m:r>
          <m:r>
            <m:rPr>
              <m:sty m:val="p"/>
            </m:rPr>
            <m:t>+</m:t>
          </m:r>
          <m:r>
            <m:t>64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5.2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t>i</m:t>
          </m:r>
          <m:r>
            <m:rPr>
              <m:sty m:val="p"/>
            </m:rPr>
            <m:t>+</m:t>
          </m:r>
          <m:r>
            <m:t>2</m:t>
          </m:r>
          <m:r>
            <m:rPr>
              <m:sty m:val="p"/>
            </m:rPr>
            <m:t>)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i</m:t>
              </m:r>
            </m:e>
          </m:nary>
        </m:oMath>
      </m:oMathPara>
    </w:p>
    <w:p>
      <w:pPr>
        <w:pStyle w:val="FirstParagraph"/>
      </w:pPr>
      <w:r>
        <w:t xml:space="preserve">5.3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t>i</m:t>
          </m:r>
          <m:r>
            <m:rPr>
              <m:sty m:val="p"/>
            </m:rPr>
            <m:t>+</m:t>
          </m:r>
          <m:r>
            <m:t>2</m:t>
          </m:r>
          <m:r>
            <m:rPr>
              <m:sty m:val="p"/>
            </m:rPr>
            <m:t>)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</m:e>
          </m:nary>
        </m:oMath>
      </m:oMathPara>
    </w:p>
    <w:p>
      <w:pPr>
        <w:pStyle w:val="FirstParagraph"/>
      </w:pPr>
      <w:r>
        <w:t xml:space="preserve">5.4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t>i</m:t>
          </m:r>
          <m:r>
            <m:rPr>
              <m:sty m:val="p"/>
            </m:rPr>
            <m:t>+</m:t>
          </m:r>
          <m:r>
            <m:t>2</m:t>
          </m:r>
          <m:r>
            <m:rPr>
              <m:sty m:val="p"/>
            </m:rPr>
            <m:t>)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t>i</m:t>
          </m:r>
          <m:r>
            <m:rPr>
              <m:sty m:val="p"/>
            </m:rPr>
            <m:t>+</m:t>
          </m:r>
          <m:r>
            <m:t>9</m:t>
          </m:r>
          <m:r>
            <m:rPr>
              <m:sty m:val="p"/>
            </m:rPr>
            <m:t>)</m:t>
          </m:r>
        </m:oMath>
      </m:oMathPara>
    </w:p>
    <w:bookmarkEnd w:id="12"/>
    <w:bookmarkStart w:id="13" w:name="q3"/>
    <w:p>
      <w:pPr>
        <w:pStyle w:val="Heading2"/>
      </w:pPr>
      <w:r>
        <w:t xml:space="preserve">Q3</w:t>
      </w:r>
    </w:p>
    <w:p>
      <w:pPr>
        <w:pStyle w:val="FirstParagraph"/>
      </w:pPr>
      <w:r>
        <w:t xml:space="preserve">Simplify the following:</w:t>
      </w:r>
    </w:p>
    <w:p>
      <w:pPr>
        <w:pStyle w:val="BodyText"/>
      </w:pPr>
      <w:r>
        <w:t xml:space="preserve">6.1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t>i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2</m:t>
          </m:r>
          <m:r>
            <m:t>i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6.2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i</m:t>
              </m:r>
            </m:e>
          </m:nary>
          <m:r>
            <m:rPr>
              <m:sty m:val="p"/>
            </m:rPr>
            <m:t>(</m:t>
          </m:r>
          <m:r>
            <m:t>i</m:t>
          </m:r>
          <m:r>
            <m:rPr>
              <m:sty m:val="p"/>
            </m:rPr>
            <m:t>+</m:t>
          </m:r>
          <m:r>
            <m:t>3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i</m:t>
          </m:r>
          <m:r>
            <m:rPr>
              <m:sty m:val="p"/>
            </m:rPr>
            <m:t>+</m:t>
          </m:r>
          <m:r>
            <m:t>6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6.3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i</m:t>
              </m:r>
            </m:e>
          </m:nary>
          <m:r>
            <m:rPr>
              <m:sty m:val="p"/>
            </m:rPr>
            <m:t>(</m:t>
          </m:r>
          <m:r>
            <m:t>2</m:t>
          </m:r>
          <m:r>
            <m:t>i</m:t>
          </m:r>
          <m:r>
            <m:rPr>
              <m:sty m:val="p"/>
            </m:rPr>
            <m:t>−</m:t>
          </m:r>
          <m:r>
            <m:t>3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3</m:t>
          </m:r>
          <m:r>
            <m:t>i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</m:oMath>
      </m:oMathPara>
    </w:p>
    <w:bookmarkEnd w:id="13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0" Target="../studyguides/furthersigmanotation.qmd" TargetMode="External" /><Relationship Type="http://schemas.openxmlformats.org/officeDocument/2006/relationships/hyperlink" Id="rId9" Target="../studyguides/sigmanotation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../studyguides/furthersigmanotation.qmd" TargetMode="External" /><Relationship Type="http://schemas.openxmlformats.org/officeDocument/2006/relationships/hyperlink" Id="rId9" Target="../studyguides/sigmanotation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Questions: Further sigma notation</dc:title>
  <dc:creator>Ifan Howells-Baines, Mark Toner</dc:creator>
  <cp:keywords/>
  <dcterms:created xsi:type="dcterms:W3CDTF">2026-09-02T13:19:49Z</dcterms:created>
  <dcterms:modified xsi:type="dcterms:W3CDTF">2026-09-02T13:19:49Z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Questions relating to the guide on sigma notation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draft">
    <vt:lpwstr>True</vt:lpwstr>
  </property>
  <property fmtid="{D5CDD505-2E9C-101B-9397-08002B2CF9AE}" pid="8" name="engines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