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6.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Introduction to hypothesis testing</w:t>
        </w:r>
      </w:hyperlink>
      <w:r>
        <w:rPr>
          <w:i/>
          <w:iCs/>
        </w:rPr>
        <w:t xml:space="preserve">, and</w:t>
      </w:r>
      <w:r>
        <w:rPr>
          <w:i/>
          <w:iCs/>
        </w:rPr>
        <w:t xml:space="preserve"> </w:t>
      </w:r>
      <w:hyperlink r:id="rId11">
        <w:r>
          <w:rPr>
            <w:rStyle w:val="Hyperlink"/>
            <w:i/>
            <w:iCs/>
          </w:rPr>
          <w:t xml:space="preserve">Guide: Expected value, variance, standard deviation</w:t>
        </w:r>
      </w:hyperlink>
      <w:r>
        <w:rPr>
          <w:i/>
          <w:iCs/>
        </w:rPr>
        <w:t xml:space="preserve">.</w:t>
      </w:r>
    </w:p>
    <w:bookmarkStart w:id="16"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12"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r>
                <m:rPr>
                  <m:sty m:val="p"/>
                </m:rPr>
                <m:t>[</m:t>
              </m:r>
              <m:r>
                <m:t>27.6</m:t>
              </m:r>
              <m:r>
                <m:rPr>
                  <m:sty m:val="p"/>
                </m:rPr>
                <m:t>,</m:t>
              </m:r>
              <m:r>
                <m:t>28.8</m:t>
              </m:r>
              <m:r>
                <m:rPr>
                  <m:sty m:val="p"/>
                </m:rPr>
                <m:t>]</m:t>
              </m:r>
            </m:oMath>
          </w:p>
        </w:tc>
        <w:tc>
          <w:tcPr/>
          <w:p>
            <w:pPr>
              <w:pStyle w:val="Compact"/>
              <w:jc w:val="center"/>
            </w:pPr>
            <m:oMath>
              <m:r>
                <m:rPr>
                  <m:sty m:val="p"/>
                </m:rPr>
                <m:t>[</m:t>
              </m:r>
              <m:r>
                <m:t>29.1</m:t>
              </m:r>
              <m:r>
                <m:rPr>
                  <m:sty m:val="p"/>
                </m:rPr>
                <m:t>,</m:t>
              </m:r>
              <m:r>
                <m:t>30.1</m:t>
              </m:r>
              <m:r>
                <m:rPr>
                  <m:sty m:val="p"/>
                </m:rPr>
                <m:t>]</m:t>
              </m:r>
            </m:oMath>
          </w:p>
        </w:tc>
        <w:tc>
          <w:tcPr/>
          <w:p>
            <w:pPr>
              <w:pStyle w:val="Compact"/>
              <w:jc w:val="center"/>
            </w:pPr>
            <m:oMath>
              <m:r>
                <m:rPr>
                  <m:sty m:val="p"/>
                </m:rPr>
                <m:t>[</m:t>
              </m:r>
              <m:r>
                <m:t>27.6</m:t>
              </m:r>
              <m:r>
                <m:rPr>
                  <m:sty m:val="p"/>
                </m:rPr>
                <m:t>,</m:t>
              </m:r>
              <m:r>
                <m:t>28.2</m:t>
              </m:r>
              <m:r>
                <m:rPr>
                  <m:sty m:val="p"/>
                </m:rPr>
                <m:t>]</m:t>
              </m:r>
            </m:oMath>
          </w:p>
        </w:tc>
        <w:tc>
          <w:tcPr/>
          <w:p>
            <w:pPr>
              <w:pStyle w:val="Compact"/>
              <w:jc w:val="center"/>
            </w:pPr>
            <m:oMath>
              <m:r>
                <m:rPr>
                  <m:sty m:val="p"/>
                </m:rPr>
                <m:t>[</m:t>
              </m:r>
              <m:r>
                <m:t>28.3</m:t>
              </m:r>
              <m:r>
                <m:rPr>
                  <m:sty m:val="p"/>
                </m:rPr>
                <m:t>,</m:t>
              </m:r>
              <m:r>
                <m:t>29.9</m:t>
              </m:r>
              <m:r>
                <m:rPr>
                  <m:sty m:val="p"/>
                </m:rPr>
                <m:t>]</m:t>
              </m:r>
            </m:oMath>
          </w:p>
        </w:tc>
        <w:tc>
          <w:tcPr/>
          <w:p>
            <w:pPr>
              <w:pStyle w:val="Compact"/>
              <w:jc w:val="center"/>
            </w:pPr>
            <m:oMath>
              <m:r>
                <m:rPr>
                  <m:sty m:val="p"/>
                </m:rPr>
                <m:t>[</m:t>
              </m:r>
              <m:r>
                <m:t>28.1</m:t>
              </m:r>
              <m:r>
                <m:rPr>
                  <m:sty m:val="p"/>
                </m:rPr>
                <m:t>,</m:t>
              </m:r>
              <m:r>
                <m:t>29.5</m:t>
              </m:r>
              <m:r>
                <m:rPr>
                  <m:sty m:val="p"/>
                </m:rPr>
                <m:t>]</m:t>
              </m:r>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12"/>
    <w:bookmarkStart w:id="13"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13"/>
    <w:bookmarkStart w:id="14"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14"/>
    <w:bookmarkStart w:id="15"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15"/>
    <w:bookmarkEnd w:id="16"/>
    <w:bookmarkStart w:id="54" w:name="constructing-confidence-intervals"/>
    <w:p>
      <w:pPr>
        <w:pStyle w:val="Heading1"/>
      </w:pPr>
      <w:r>
        <w:t xml:space="preserve">Constructing confidence intervals</w:t>
      </w:r>
    </w:p>
    <w:bookmarkStart w:id="22"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r>
          <m:rPr>
            <m:sty m:val="p"/>
          </m:rPr>
          <m:t>(</m:t>
        </m:r>
        <m:r>
          <m:t>μ</m:t>
        </m:r>
        <m:r>
          <m:rPr>
            <m:sty m:val="p"/>
          </m:rPr>
          <m:t>,</m:t>
        </m:r>
        <m:sSup>
          <m:e>
            <m:r>
              <m:t>σ</m:t>
            </m:r>
          </m:e>
          <m:sup>
            <m:r>
              <m:t>2</m:t>
            </m:r>
          </m:sup>
        </m:sSup>
        <m:r>
          <m:rPr>
            <m:sty m:val="p"/>
          </m:rPr>
          <m:t>)</m:t>
        </m:r>
      </m:oMath>
      <w:r>
        <w:t xml:space="preserve">, which depends on two parameters: the</w:t>
      </w:r>
      <w:r>
        <w:t xml:space="preserve"> </w:t>
      </w:r>
      <w:r>
        <w:rPr>
          <w:b/>
          <w:bCs/>
        </w:rPr>
        <w:t xml:space="preserve">mean</w:t>
      </w:r>
      <w:r>
        <w:t xml:space="preserve"> </w:t>
      </w:r>
      <m:oMath>
        <m:r>
          <m:rPr>
            <m:sty m:val="p"/>
          </m:rPr>
          <m:t>(</m:t>
        </m:r>
        <m:r>
          <m:t>μ</m:t>
        </m:r>
        <m:r>
          <m:rPr>
            <m:sty m:val="p"/>
          </m:rPr>
          <m:t>)</m:t>
        </m:r>
      </m:oMath>
      <w:r>
        <w:t xml:space="preserve"> </w:t>
      </w:r>
      <w:r>
        <w:t xml:space="preserve">and the</w:t>
      </w:r>
      <w:r>
        <w:t xml:space="preserve"> </w:t>
      </w:r>
      <w:r>
        <w:rPr>
          <w:b/>
          <w:bCs/>
        </w:rPr>
        <w:t xml:space="preserve">standard deviation</w:t>
      </w:r>
      <w:r>
        <w:t xml:space="preserve"> </w:t>
      </w:r>
      <m:oMath>
        <m:r>
          <m:rPr>
            <m:sty m:val="p"/>
          </m:rPr>
          <m:t>(</m:t>
        </m:r>
        <m:r>
          <m:t>σ</m:t>
        </m:r>
        <m:r>
          <m:rPr>
            <m:sty m:val="p"/>
          </m:rPr>
          <m:t>)</m:t>
        </m:r>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11">
        <w:r>
          <w:rPr>
            <w:rStyle w:val="Hyperlink"/>
          </w:rPr>
          <w:t xml:space="preserve">Guide: Expected value, variance, standard deviation</w:t>
        </w:r>
      </w:hyperlink>
      <w:r>
        <w:t xml:space="preserve">; for more on probability density functions, please see</w:t>
      </w:r>
      <w:r>
        <w:t xml:space="preserve"> </w:t>
      </w:r>
      <w:hyperlink r:id="rId17">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r>
                  <m:rPr>
                    <m:sty m:val="p"/>
                  </m:rPr>
                  <m:t>(</m:t>
                </m:r>
                <m:r>
                  <m:t>μ</m:t>
                </m:r>
                <m:r>
                  <m:rPr>
                    <m:sty m:val="p"/>
                  </m:rPr>
                  <m:t>,</m:t>
                </m:r>
                <m:sSup>
                  <m:e>
                    <m:r>
                      <m:t>σ</m:t>
                    </m:r>
                  </m:e>
                  <m:sup>
                    <m:r>
                      <m:t>2</m:t>
                    </m:r>
                  </m:sup>
                </m:sSup>
                <m:r>
                  <m:rPr>
                    <m:sty m:val="p"/>
                  </m:rPr>
                  <m:t>)</m:t>
                </m:r>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r>
          <m:rPr>
            <m:sty m:val="p"/>
          </m:rPr>
          <m:t>(</m:t>
        </m:r>
        <m:r>
          <m:t>μ</m:t>
        </m:r>
        <m:r>
          <m:rPr>
            <m:sty m:val="p"/>
          </m:rPr>
          <m:t>,</m:t>
        </m:r>
        <m:sSup>
          <m:e>
            <m:r>
              <m:t>σ</m:t>
            </m:r>
          </m:e>
          <m:sup>
            <m:r>
              <m:t>2</m:t>
            </m:r>
          </m:sup>
        </m:sSup>
        <m:r>
          <m:rPr>
            <m:sty m:val="p"/>
          </m:rPr>
          <m:t>)</m:t>
        </m:r>
      </m:oMath>
      <w:r>
        <w:t xml:space="preserve"> </w:t>
      </w:r>
      <w:r>
        <w:t xml:space="preserve">actually is) see</w:t>
      </w:r>
      <w:r>
        <w:t xml:space="preserve"> </w:t>
      </w:r>
      <w:hyperlink r:id="rId21">
        <w:r>
          <w:rPr>
            <w:rStyle w:val="Hyperlink"/>
          </w:rPr>
          <w:t xml:space="preserve">Factsheet: Normal distribution</w:t>
        </w:r>
      </w:hyperlink>
      <w:r>
        <w:t xml:space="preserve">.</w:t>
      </w:r>
    </w:p>
    <w:bookmarkEnd w:id="22"/>
    <w:bookmarkStart w:id="23"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23"/>
    <w:bookmarkStart w:id="29"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29"/>
    <w:bookmarkStart w:id="34"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34"/>
    <w:bookmarkStart w:id="53"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r>
                <m:rPr>
                  <m:sty m:val="p"/>
                </m:rPr>
                <m:t>(</m:t>
              </m:r>
              <m:sSub>
                <m:e>
                  <m:r>
                    <m:t>Z</m:t>
                  </m:r>
                </m:e>
                <m:sub>
                  <m:r>
                    <m:t>α</m:t>
                  </m:r>
                  <m:r>
                    <m:rPr>
                      <m:sty m:val="p"/>
                    </m:rPr>
                    <m:t>/</m:t>
                  </m:r>
                  <m:r>
                    <m:t>2</m:t>
                  </m:r>
                </m:sub>
              </m:sSub>
              <m:r>
                <m:rPr>
                  <m:sty m:val="p"/>
                </m:rPr>
                <m:t>)</m:t>
              </m:r>
            </m:oMath>
            <w:r>
              <w:t xml:space="preserve"> </w:t>
            </w:r>
            <w:r>
              <w:t xml:space="preserve">is the</w:t>
            </w:r>
            <w:r>
              <w:t xml:space="preserve"> </w:t>
            </w:r>
            <m:oMath>
              <m:r>
                <m:t>Z</m:t>
              </m:r>
            </m:oMath>
            <w:r>
              <w:t xml:space="preserve">-value corresponding to the chosen confidence level</w:t>
            </w:r>
            <w:r>
              <w:t xml:space="preserve"> </w:t>
            </w:r>
            <m:oMath>
              <m:r>
                <m:rPr>
                  <m:sty m:val="p"/>
                </m:rPr>
                <m:t>(</m:t>
              </m:r>
              <m:r>
                <m:t>1</m:t>
              </m:r>
              <m:r>
                <m:rPr>
                  <m:sty m:val="p"/>
                </m:rPr>
                <m:t>−</m:t>
              </m:r>
              <m:r>
                <m:t>α</m:t>
              </m:r>
              <m:r>
                <m:rPr>
                  <m:sty m:val="p"/>
                </m:rPr>
                <m:t>)</m:t>
              </m:r>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r>
                <m:rPr>
                  <m:sty m:val="p"/>
                </m:rPr>
                <m:t>(</m:t>
              </m:r>
              <m:r>
                <m:t>α</m:t>
              </m:r>
              <m:r>
                <m:rPr>
                  <m:sty m:val="p"/>
                </m:rPr>
                <m:t>)</m:t>
              </m:r>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r>
                  <m:rPr>
                    <m:sty m:val="p"/>
                  </m:rPr>
                  <m:t>[</m:t>
                </m:r>
                <m:acc>
                  <m:accPr>
                    <m:chr m:val="‾"/>
                  </m:accPr>
                  <m:e>
                    <m:r>
                      <m:t>x</m:t>
                    </m:r>
                  </m:e>
                </m:acc>
                <m:r>
                  <m:rPr>
                    <m:sty m:val="p"/>
                  </m:rPr>
                  <m:t>−</m:t>
                </m:r>
                <m:r>
                  <m:t>M</m:t>
                </m:r>
                <m:r>
                  <m:t>E</m:t>
                </m:r>
                <m:r>
                  <m:t> </m:t>
                </m:r>
                <m:r>
                  <m:rPr>
                    <m:sty m:val="p"/>
                  </m:rPr>
                  <m:t>,</m:t>
                </m:r>
                <m:r>
                  <m:t> </m:t>
                </m:r>
                <m:acc>
                  <m:accPr>
                    <m:chr m:val="‾"/>
                  </m:accPr>
                  <m:e>
                    <m:r>
                      <m:t>x</m:t>
                    </m:r>
                  </m:e>
                </m:acc>
                <m:r>
                  <m:rPr>
                    <m:sty m:val="p"/>
                  </m:rPr>
                  <m:t>+</m:t>
                </m:r>
                <m:r>
                  <m:t>M</m:t>
                </m:r>
                <m:r>
                  <m:t>E</m:t>
                </m:r>
                <m:r>
                  <m:rPr>
                    <m:sty m:val="p"/>
                  </m:rPr>
                  <m:t>]</m:t>
                </m:r>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43" name="Picture"/>
                  <a:graphic>
                    <a:graphicData uri="http://schemas.openxmlformats.org/drawingml/2006/picture">
                      <pic:pic>
                        <pic:nvPicPr>
                          <pic:cNvPr descr="./FiguresPNG/confidenceintervals-fig2.png" id="44" name="Picture"/>
                          <pic:cNvPicPr>
                            <a:picLocks noChangeArrowheads="1" noChangeAspect="1"/>
                          </pic:cNvPicPr>
                        </pic:nvPicPr>
                        <pic:blipFill>
                          <a:blip r:embed="rId42"/>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75</m:t>
                </m:r>
                <m:r>
                  <m:rPr>
                    <m:sty m:val="p"/>
                  </m:rPr>
                  <m:t>−</m:t>
                </m:r>
                <m:r>
                  <m:t>1.960</m:t>
                </m:r>
                <m:r>
                  <m:rPr>
                    <m:sty m:val="p"/>
                  </m:rPr>
                  <m:t>)</m:t>
                </m:r>
                <m:r>
                  <m:t> </m:t>
                </m:r>
                <m:r>
                  <m:rPr>
                    <m:nor/>
                    <m:sty m:val="p"/>
                  </m:rPr>
                  <m:t>g</m:t>
                </m:r>
                <m:r>
                  <m:t> </m:t>
                </m:r>
                <m:r>
                  <m:rPr>
                    <m:sty m:val="p"/>
                  </m:rPr>
                  <m:t>,</m:t>
                </m:r>
                <m:r>
                  <m:t> </m:t>
                </m:r>
                <m:r>
                  <m:rPr>
                    <m:sty m:val="p"/>
                  </m:rPr>
                  <m:t>(</m:t>
                </m:r>
                <m:r>
                  <m:t>75</m:t>
                </m:r>
                <m:r>
                  <m:rPr>
                    <m:sty m:val="p"/>
                  </m:rPr>
                  <m:t>+</m:t>
                </m:r>
                <m:r>
                  <m:t>1.960</m:t>
                </m:r>
                <m:r>
                  <m:rPr>
                    <m:sty m:val="p"/>
                  </m:rPr>
                  <m:t>)</m:t>
                </m:r>
                <m:r>
                  <m:t> </m:t>
                </m:r>
                <m:r>
                  <m:rPr>
                    <m:nor/>
                    <m:sty m:val="p"/>
                  </m:rPr>
                  <m:t>g</m:t>
                </m:r>
                <m:r>
                  <m:rPr>
                    <m:sty m:val="p"/>
                  </m:rPr>
                  <m:t>]</m:t>
                </m:r>
                <m:r>
                  <m:rPr>
                    <m:sty m:val="p"/>
                  </m:rPr>
                  <m:t>=</m:t>
                </m:r>
                <m:r>
                  <m:rPr>
                    <m:sty m:val="p"/>
                  </m:rPr>
                  <m:t>[</m:t>
                </m:r>
                <m:r>
                  <m:t>73.04</m:t>
                </m:r>
                <m:r>
                  <m:t> </m:t>
                </m:r>
                <m:r>
                  <m:rPr>
                    <m:nor/>
                    <m:sty m:val="p"/>
                  </m:rPr>
                  <m:t>g</m:t>
                </m:r>
                <m:r>
                  <m:t> </m:t>
                </m:r>
                <m:r>
                  <m:rPr>
                    <m:sty m:val="p"/>
                  </m:rPr>
                  <m:t>,</m:t>
                </m:r>
                <m:r>
                  <m:t>76.96</m:t>
                </m:r>
                <m:r>
                  <m:t> </m:t>
                </m:r>
                <m:r>
                  <m:rPr>
                    <m:nor/>
                    <m:sty m:val="p"/>
                  </m:rPr>
                  <m:t>g</m:t>
                </m:r>
                <m:r>
                  <m:rPr>
                    <m:sty m:val="p"/>
                  </m:rPr>
                  <m:t>]</m:t>
                </m:r>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eqArr>
                  <m:e>
                    <m:r>
                      <m:rPr>
                        <m:nor/>
                        <m:scr m:val="sans-serif"/>
                        <m:sty m:val="p"/>
                      </m:rPr>
                      <m:t>A </m:t>
                    </m:r>
                    <m:r>
                      <m:t>90</m:t>
                    </m:r>
                    <m:r>
                      <m:rPr>
                        <m:sty m:val="p"/>
                      </m:rPr>
                      <m:t>%</m:t>
                    </m:r>
                    <m:r>
                      <m:rPr>
                        <m:nor/>
                        <m:scr m:val="sans-serif"/>
                        <m:sty m:val="p"/>
                      </m:rPr>
                      <m:t> CI </m:t>
                    </m:r>
                    <m:r>
                      <m:t>&amp;</m:t>
                    </m:r>
                    <m:r>
                      <m:rPr>
                        <m:sty m:val="p"/>
                      </m:rPr>
                      <m:t>=</m:t>
                    </m:r>
                    <m:r>
                      <m:rPr>
                        <m:sty m:val="p"/>
                      </m:rPr>
                      <m:t>[</m:t>
                    </m:r>
                    <m:r>
                      <m:t>73.36</m:t>
                    </m:r>
                    <m:r>
                      <m:t> </m:t>
                    </m:r>
                    <m:r>
                      <m:rPr>
                        <m:nor/>
                        <m:sty m:val="p"/>
                      </m:rPr>
                      <m:t>g</m:t>
                    </m:r>
                    <m:r>
                      <m:rPr>
                        <m:sty m:val="p"/>
                      </m:rPr>
                      <m:t>,</m:t>
                    </m:r>
                    <m:r>
                      <m:t>76.64</m:t>
                    </m:r>
                    <m:r>
                      <m:t> </m:t>
                    </m:r>
                    <m:r>
                      <m:rPr>
                        <m:nor/>
                        <m:sty m:val="p"/>
                      </m:rPr>
                      <m:t>g</m:t>
                    </m:r>
                    <m:r>
                      <m:rPr>
                        <m:sty m:val="p"/>
                      </m:rPr>
                      <m:t>]</m:t>
                    </m:r>
                  </m:e>
                  <m:e>
                    <m:r>
                      <m:rPr>
                        <m:nor/>
                        <m:scr m:val="sans-serif"/>
                        <m:sty m:val="p"/>
                      </m:rPr>
                      <m:t>A </m:t>
                    </m:r>
                    <m:r>
                      <m:t>99</m:t>
                    </m:r>
                    <m:r>
                      <m:rPr>
                        <m:sty m:val="p"/>
                      </m:rPr>
                      <m:t>%</m:t>
                    </m:r>
                    <m:r>
                      <m:rPr>
                        <m:nor/>
                        <m:scr m:val="sans-serif"/>
                        <m:sty m:val="p"/>
                      </m:rPr>
                      <m:t> CI </m:t>
                    </m:r>
                    <m:r>
                      <m:t>&amp;</m:t>
                    </m:r>
                    <m:r>
                      <m:rPr>
                        <m:sty m:val="p"/>
                      </m:rPr>
                      <m:t>=</m:t>
                    </m:r>
                    <m:r>
                      <m:rPr>
                        <m:sty m:val="p"/>
                      </m:rPr>
                      <m:t>[</m:t>
                    </m:r>
                    <m:r>
                      <m:t>72.424</m:t>
                    </m:r>
                    <m:r>
                      <m:t> </m:t>
                    </m:r>
                    <m:r>
                      <m:rPr>
                        <m:nor/>
                        <m:sty m:val="p"/>
                      </m:rPr>
                      <m:t>g</m:t>
                    </m:r>
                    <m:r>
                      <m:rPr>
                        <m:sty m:val="p"/>
                      </m:rPr>
                      <m:t>,</m:t>
                    </m:r>
                    <m:r>
                      <m:t>77.576</m:t>
                    </m:r>
                    <m:r>
                      <m:t> </m:t>
                    </m:r>
                    <m:r>
                      <m:rPr>
                        <m:nor/>
                        <m:sty m:val="p"/>
                      </m:rPr>
                      <m:t>g</m:t>
                    </m:r>
                    <m:r>
                      <m:rPr>
                        <m:sty m:val="p"/>
                      </m:rPr>
                      <m:t>]</m:t>
                    </m:r>
                  </m:e>
                </m:eqArr>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cr m:val="sans-serif"/>
                    <m:sty m:val="p"/>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cr m:val="sans-serif"/>
                    <m:sty m:val="p"/>
                  </m:rPr>
                  <m:t> CI </m:t>
                </m:r>
                <m:r>
                  <m:rPr>
                    <m:sty m:val="p"/>
                  </m:rPr>
                  <m:t>=</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t>84</m:t>
                </m:r>
                <m:r>
                  <m:rPr>
                    <m:sty m:val="p"/>
                  </m:rPr>
                  <m:t>+</m:t>
                </m:r>
                <m:r>
                  <m:t>2.122</m:t>
                </m:r>
                <m:r>
                  <m:rPr>
                    <m:sty m:val="p"/>
                  </m:rPr>
                  <m:t>)</m:t>
                </m:r>
                <m:r>
                  <m:t> </m:t>
                </m:r>
                <m:r>
                  <m:rPr>
                    <m:nor/>
                    <m:sty m:val="p"/>
                  </m:rPr>
                  <m:t>g</m:t>
                </m:r>
                <m:r>
                  <m:rPr>
                    <m:sty m:val="p"/>
                  </m:rPr>
                  <m:t>]</m:t>
                </m:r>
                <m:r>
                  <m:rPr>
                    <m:sty m:val="p"/>
                  </m:rPr>
                  <m:t>=</m:t>
                </m:r>
                <m:r>
                  <m:rPr>
                    <m:sty m:val="p"/>
                  </m:rPr>
                  <m:t>[</m:t>
                </m:r>
                <m:r>
                  <m:t>81.878</m:t>
                </m:r>
                <m:r>
                  <m:t> </m:t>
                </m:r>
                <m:r>
                  <m:rPr>
                    <m:nor/>
                    <m:sty m:val="p"/>
                  </m:rPr>
                  <m:t>g</m:t>
                </m:r>
                <m:r>
                  <m:t> </m:t>
                </m:r>
                <m:r>
                  <m:rPr>
                    <m:sty m:val="p"/>
                  </m:rPr>
                  <m:t>,</m:t>
                </m:r>
                <m:r>
                  <m:t>86.122</m:t>
                </m:r>
                <m:r>
                  <m:t> </m:t>
                </m:r>
                <m:r>
                  <m:rPr>
                    <m:nor/>
                    <m:sty m:val="p"/>
                  </m:rPr>
                  <m:t>g</m:t>
                </m:r>
                <m:r>
                  <m:rPr>
                    <m:sty m:val="p"/>
                  </m:rPr>
                  <m:t>]</m:t>
                </m:r>
              </m:oMath>
            </m:oMathPara>
          </w:p>
          <w:p>
            <w:pPr>
              <w:pStyle w:val="FirstParagraph"/>
            </w:pPr>
            <w:pPr>
              <w:spacing w:after="16"/>
            </w:pPr>
            <w:r>
              <w:t xml:space="preserve">This completes your work for Lovelace’s Lollies.</w:t>
            </w:r>
          </w:p>
        </w:tc>
      </w:tr>
    </w:tbl>
    <w:bookmarkEnd w:id="53"/>
    <w:bookmarkEnd w:id="54"/>
    <w:bookmarkStart w:id="59"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r>
                <m:rPr>
                  <m:sty m:val="p"/>
                </m:rPr>
                <m:t>[</m:t>
              </m:r>
              <m:r>
                <m:t>100.00</m:t>
              </m:r>
              <m:r>
                <m:t>g</m:t>
              </m:r>
              <m:r>
                <m:rPr>
                  <m:sty m:val="p"/>
                </m:rPr>
                <m:t>,</m:t>
              </m:r>
              <m:r>
                <m:t>104.00</m:t>
              </m:r>
              <m:r>
                <m:t>g</m:t>
              </m:r>
              <m:r>
                <m:rPr>
                  <m:sty m:val="p"/>
                </m:rPr>
                <m:t>]</m:t>
              </m:r>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r>
                <m:rPr>
                  <m:sty m:val="p"/>
                </m:rPr>
                <m:t>(</m:t>
              </m:r>
              <m:r>
                <m:t>104</m:t>
              </m:r>
              <m:r>
                <m:rPr>
                  <m:sty m:val="p"/>
                </m:rPr>
                <m:t>−</m:t>
              </m:r>
              <m:r>
                <m:t>102</m:t>
              </m:r>
              <m:r>
                <m:rPr>
                  <m:sty m:val="p"/>
                </m:rPr>
                <m:t>)</m:t>
              </m:r>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cr m:val="sans-serif"/>
                    <m:sty m:val="p"/>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59"/>
    <w:bookmarkStart w:id="60"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r>
          <m:rPr>
            <m:sty m:val="p"/>
          </m:rPr>
          <m:t>[</m:t>
        </m:r>
        <m:r>
          <m:t>29.1</m:t>
        </m:r>
        <m:r>
          <m:t> </m:t>
        </m:r>
        <m:r>
          <m:rPr>
            <m:nor/>
            <m:sty m:val="p"/>
          </m:rPr>
          <m:t>mm</m:t>
        </m:r>
        <m:r>
          <m:rPr>
            <m:sty m:val="p"/>
          </m:rPr>
          <m:t>,</m:t>
        </m:r>
        <m:r>
          <m:t>32.9</m:t>
        </m:r>
        <m:r>
          <m:t> </m:t>
        </m:r>
        <m:r>
          <m:rPr>
            <m:nor/>
            <m:sty m:val="p"/>
          </m:rPr>
          <m:t>mm</m:t>
        </m:r>
        <m:r>
          <m:rPr>
            <m:sty m:val="p"/>
          </m:rPr>
          <m:t>]</m:t>
        </m:r>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60"/>
    <w:bookmarkStart w:id="63"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confidence intervals.</w:t>
        </w:r>
      </w:hyperlink>
    </w:p>
    <w:p>
      <w:pPr>
        <w:pStyle w:val="BodyText"/>
      </w:pPr>
      <w:hyperlink r:id="rId62">
        <w:r>
          <w:rPr>
            <w:rStyle w:val="Hyperlink"/>
          </w:rPr>
          <w:t xml:space="preserve">If you would like to use a calculator to check your answers, please go to Calculator: Confidence intervals with normal distribution.</w:t>
        </w:r>
      </w:hyperlink>
    </w:p>
    <w:bookmarkEnd w:id="63"/>
    <w:bookmarkStart w:id="65"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64">
        <w:r>
          <w:rPr>
            <w:rStyle w:val="Hyperlink"/>
          </w:rPr>
          <w:t xml:space="preserve">This work is licensed under CC BY-NC-SA 4.0.</w:t>
        </w:r>
      </w:hyperlink>
    </w:p>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2" Target="../apps/calculators/c-confidenceintervalsnormal.qmd" TargetMode="External" /><Relationship Type="http://schemas.openxmlformats.org/officeDocument/2006/relationships/hyperlink" Id="rId21" Target="../factsheets/f-normaldist.qmd" TargetMode="External" /><Relationship Type="http://schemas.openxmlformats.org/officeDocument/2006/relationships/hyperlink" Id="rId61" Target="../questions/qs-confidenceintervals.qmd" TargetMode="External" /><Relationship Type="http://schemas.openxmlformats.org/officeDocument/2006/relationships/hyperlink" Id="rId11" Target="expectedvariance.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10" Target="hypothesistesting.qmd" TargetMode="External" /><Relationship Type="http://schemas.openxmlformats.org/officeDocument/2006/relationships/hyperlink" Id="rId9" Target="introtoprobability.qmd" TargetMode="External" /><Relationship Type="http://schemas.openxmlformats.org/officeDocument/2006/relationships/hyperlink" Id="rId17"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2026-09-02T13:14:16Z</dcterms:created>
  <dcterms:modified xsi:type="dcterms:W3CDTF">2026-09-02T13:14:16Z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FiguresPNG/confidenceintervals-image.png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