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 logic (maths)</w:t>
      </w:r>
    </w:p>
    <w:p>
      <w:pPr>
        <w:pStyle w:val="Author"/>
      </w:pPr>
      <w:r>
        <w:t xml:space="preserve">Jessica Taberner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introduction to logic (maths).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logic (maths).</w:t>
        </w:r>
      </w:hyperlink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-propositions"/>
    <w:p>
      <w:pPr>
        <w:pStyle w:val="Heading2"/>
      </w:pPr>
      <w:r>
        <w:t xml:space="preserve">Q1 Propositions</w:t>
      </w:r>
    </w:p>
    <w:p>
      <w:pPr>
        <w:pStyle w:val="FirstParagraph"/>
      </w:pPr>
      <w:r>
        <w:rPr>
          <w:b/>
          <w:bCs/>
        </w:rPr>
        <w:t xml:space="preserve">1.1.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proposition.</w:t>
      </w:r>
    </w:p>
    <w:p>
      <w:pPr>
        <w:pStyle w:val="BodyText"/>
      </w:pPr>
      <w:r>
        <w:rPr>
          <w:b/>
          <w:bCs/>
        </w:rPr>
        <w:t xml:space="preserve">1.2.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3</m:t>
        </m:r>
      </m:oMath>
      <w:r>
        <w:t xml:space="preserve">”</w:t>
      </w:r>
      <w:r>
        <w:t xml:space="preserve"> </w:t>
      </w:r>
      <w:r>
        <w:t xml:space="preserve">is a proposition.</w:t>
      </w:r>
    </w:p>
    <w:p>
      <w:pPr>
        <w:pStyle w:val="BodyText"/>
      </w:pPr>
      <w:r>
        <w:rPr>
          <w:b/>
          <w:bCs/>
        </w:rPr>
        <w:t xml:space="preserve">1.3.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 is not a proposition.</w:t>
      </w:r>
    </w:p>
    <w:p>
      <w:pPr>
        <w:pStyle w:val="BodyText"/>
      </w:pPr>
      <w:r>
        <w:rPr>
          <w:b/>
          <w:bCs/>
        </w:rPr>
        <w:t xml:space="preserve">1.4.</w:t>
      </w:r>
      <w:r>
        <w:t xml:space="preserve"> </w:t>
      </w:r>
      <w:r>
        <w:t xml:space="preserve">“</w:t>
      </w:r>
      <m:oMath>
        <m:r>
          <m:t>5</m:t>
        </m:r>
      </m:oMath>
      <w:r>
        <w:t xml:space="preserve"> </w:t>
      </w:r>
      <w:r>
        <w:t xml:space="preserve">is even” is a proposition.</w:t>
      </w:r>
    </w:p>
    <w:p>
      <w:pPr>
        <w:pStyle w:val="BodyText"/>
      </w:pPr>
      <w:r>
        <w:rPr>
          <w:b/>
          <w:bCs/>
        </w:rPr>
        <w:t xml:space="preserve">1.5.</w:t>
      </w:r>
      <w:r>
        <w:t xml:space="preserve"> </w:t>
      </w:r>
      <w:r>
        <w:t xml:space="preserve">“</w:t>
      </w:r>
      <m:oMath>
        <m:r>
          <m:t>y</m:t>
        </m:r>
      </m:oMath>
      <w:r>
        <w:t xml:space="preserve"> </w:t>
      </w:r>
      <w:r>
        <w:t xml:space="preserve">is odd” is not a proposition.</w:t>
      </w:r>
    </w:p>
    <w:p>
      <w:pPr>
        <w:pStyle w:val="BodyText"/>
      </w:pPr>
      <w:r>
        <w:rPr>
          <w:b/>
          <w:bCs/>
        </w:rPr>
        <w:t xml:space="preserve">1.6.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” is a proposition.</w:t>
      </w:r>
    </w:p>
    <w:p>
      <w:pPr>
        <w:pStyle w:val="BodyText"/>
      </w:pPr>
      <w:r>
        <w:rPr>
          <w:b/>
          <w:bCs/>
        </w:rPr>
        <w:t xml:space="preserve">1.7.</w:t>
      </w:r>
      <w:r>
        <w:t xml:space="preserve"> </w:t>
      </w:r>
      <w:r>
        <w:t xml:space="preserve">“</w:t>
      </w:r>
      <m:oMath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10</m:t>
        </m:r>
      </m:oMath>
      <w:r>
        <w:t xml:space="preserve">” is a proposition.</w:t>
      </w:r>
    </w:p>
    <w:p>
      <w:pPr>
        <w:pStyle w:val="BodyText"/>
      </w:pPr>
      <w:r>
        <w:rPr>
          <w:b/>
          <w:bCs/>
        </w:rPr>
        <w:t xml:space="preserve">1.8.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&lt;</m:t>
        </m:r>
        <m:r>
          <m:t>5</m:t>
        </m:r>
        <m:r>
          <m:t>x</m:t>
        </m:r>
      </m:oMath>
      <w:r>
        <w:t xml:space="preserve">” is not a proposition.</w:t>
      </w:r>
    </w:p>
    <w:bookmarkEnd w:id="10"/>
    <w:bookmarkStart w:id="11" w:name="q2-connectives"/>
    <w:p>
      <w:pPr>
        <w:pStyle w:val="Heading2"/>
      </w:pPr>
      <w:r>
        <w:t xml:space="preserve">Q2 Connectives</w:t>
      </w:r>
    </w:p>
    <w:p>
      <w:pPr>
        <w:pStyle w:val="FirstParagraph"/>
      </w:pPr>
      <w:r>
        <w:rPr>
          <w:b/>
          <w:bCs/>
        </w:rPr>
        <w:t xml:space="preserve">2.1.</w:t>
      </w:r>
      <w:r>
        <w:t xml:space="preserve"> </w:t>
      </w:r>
      <w:r>
        <w:t xml:space="preserve">The logical structure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3</m:t>
        </m:r>
      </m:oMath>
      <w:r>
        <w:t xml:space="preserve">, 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2.2.</w:t>
      </w:r>
      <w:r>
        <w:t xml:space="preserve"> </w:t>
      </w:r>
      <w:r>
        <w:t xml:space="preserve">The logical structure of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odd and positive”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2.3.</w:t>
      </w:r>
      <w:r>
        <w:t xml:space="preserve"> </w:t>
      </w:r>
      <w:r>
        <w:t xml:space="preserve">The logical structure of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2.4.</w:t>
      </w:r>
      <w:r>
        <w:t xml:space="preserve"> </w:t>
      </w:r>
      <w:r>
        <w:t xml:space="preserve">The logical structure of</w:t>
      </w:r>
      <w:r>
        <w:t xml:space="preserve"> </w:t>
      </w:r>
      <w:r>
        <w:t xml:space="preserve">“</w:t>
      </w:r>
      <m:oMath>
        <m:r>
          <m:t>y</m:t>
        </m:r>
      </m:oMath>
      <w:r>
        <w:t xml:space="preserve"> </w:t>
      </w:r>
      <w:r>
        <w:t xml:space="preserve">is even or odd”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2.5.</w:t>
      </w:r>
      <w:r>
        <w:t xml:space="preserve"> </w:t>
      </w:r>
      <w:r>
        <w:t xml:space="preserve">The logical structure of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is positive if and only 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negative”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2.6.</w:t>
      </w:r>
      <w:r>
        <w:t xml:space="preserve"> </w:t>
      </w:r>
      <w:r>
        <w:t xml:space="preserve">The logical structure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are even”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∧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2" w:name="q3-truth-tables"/>
    <w:p>
      <w:pPr>
        <w:pStyle w:val="Heading2"/>
      </w:pPr>
      <w:r>
        <w:t xml:space="preserve">Q3 Truth tables</w:t>
      </w:r>
    </w:p>
    <w:p>
      <w:pPr>
        <w:pStyle w:val="FirstParagraph"/>
      </w:pPr>
      <w:r>
        <w:rPr>
          <w:b/>
          <w:bCs/>
        </w:rPr>
        <w:t xml:space="preserve">3.1.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→</m:t>
              </m:r>
              <m:r>
                <m:t>Q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</w:tbl>
    <w:p>
      <w:pPr>
        <w:pStyle w:val="BodyText"/>
      </w:pPr>
      <w:r>
        <w:rPr>
          <w:b/>
          <w:bCs/>
        </w:rPr>
        <w:t xml:space="preserve">3.2.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</w:tbl>
    <w:p>
      <w:pPr>
        <w:pStyle w:val="BodyText"/>
      </w:pPr>
      <w:r>
        <w:rPr>
          <w:b/>
          <w:bCs/>
        </w:rPr>
        <w:t xml:space="preserve">3.3.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rPr>
          <w:b/>
          <w:bCs/>
        </w:rPr>
        <w:t xml:space="preserve">3.4.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↔</m:t>
        </m:r>
        <m:r>
          <m:t>Q</m:t>
        </m:r>
        <m:r>
          <m:rPr>
            <m:sty m:val="p"/>
          </m:rPr>
          <m:t>)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↔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rPr>
          <w:b/>
          <w:bCs/>
        </w:rPr>
        <w:t xml:space="preserve">3.5.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</w:tbl>
    <w:p>
      <w:pPr>
        <w:pStyle w:val="BodyText"/>
      </w:pPr>
      <w:r>
        <w:rPr>
          <w:b/>
          <w:bCs/>
        </w:rPr>
        <w:t xml:space="preserve">3.6.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R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R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rPr>
          <w:b/>
          <w:bCs/>
        </w:rPr>
        <w:t xml:space="preserve">3.7.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∨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</w:tbl>
    <w:p>
      <w:pPr>
        <w:pStyle w:val="BodyText"/>
      </w:pPr>
      <w:r>
        <w:rPr>
          <w:b/>
          <w:bCs/>
        </w:rPr>
        <w:t xml:space="preserve">3.8.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↔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t>R</m:t>
        </m:r>
        <m:r>
          <m:rPr>
            <m:sty m:val="p"/>
          </m:rPr>
          <m:t>)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↔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</w:tbl>
    <w:bookmarkEnd w:id="12"/>
    <w:bookmarkStart w:id="13" w:name="q4-equivalence"/>
    <w:p>
      <w:pPr>
        <w:pStyle w:val="Heading2"/>
      </w:pPr>
      <w:r>
        <w:t xml:space="preserve">Q4 Equivalence</w:t>
      </w:r>
    </w:p>
    <w:p>
      <w:pPr>
        <w:pStyle w:val="FirstParagraph"/>
      </w:pPr>
      <w:r>
        <w:rPr>
          <w:b/>
          <w:bCs/>
        </w:rPr>
        <w:t xml:space="preserve">4.1.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are logically equivalent. This identity is known as</w:t>
      </w:r>
      <w:r>
        <w:t xml:space="preserve"> </w:t>
      </w:r>
      <w:r>
        <w:rPr>
          <w:b/>
          <w:bCs/>
        </w:rPr>
        <w:t xml:space="preserve">De Morgan’s Law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4.2.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→</m:t>
        </m:r>
        <m:r>
          <m:t>P</m:t>
        </m:r>
      </m:oMath>
      <w:r>
        <w:t xml:space="preserve"> </w:t>
      </w:r>
      <w:r>
        <w:t xml:space="preserve">are not logically equivalent.</w:t>
      </w:r>
    </w:p>
    <w:p>
      <w:pPr>
        <w:pStyle w:val="BodyText"/>
      </w:pPr>
      <w:r>
        <w:rPr>
          <w:b/>
          <w:bCs/>
        </w:rPr>
        <w:t xml:space="preserve">4.3.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are logically equivalent.</w:t>
      </w:r>
    </w:p>
    <w:p>
      <w:pPr>
        <w:pStyle w:val="BodyText"/>
      </w:pPr>
      <w:r>
        <w:rPr>
          <w:b/>
          <w:bCs/>
        </w:rPr>
        <w:t xml:space="preserve">4.4.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logically equivalent.</w:t>
      </w:r>
    </w:p>
    <w:bookmarkEnd w:id="13"/>
    <w:bookmarkStart w:id="15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03/26 by Jessica Taberner as part of a University of St Andrews VIP project.</w:t>
      </w:r>
    </w:p>
    <w:p>
      <w:pPr>
        <w:pStyle w:val="BodyText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introtologicmath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introtologicmath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logic (maths)</dc:title>
  <dc:creator>Jessica Taberner</dc:creator>
  <cp:keywords/>
  <dcterms:created xsi:type="dcterms:W3CDTF">2026-09-07T13:08:56Z</dcterms:created>
  <dcterms:modified xsi:type="dcterms:W3CDTF">2026-09-07T13:08:56Z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introduction to logic (maths).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