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product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product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 As</w:t>
      </w:r>
      <w:r>
        <w:t xml:space="preserve"> </w:t>
      </w:r>
      <m:oMath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c</m:t>
        </m:r>
        <m:r>
          <m:t>o</m:t>
        </m:r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the function becomes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15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26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13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 Take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inside the first bracket so the function becomes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20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10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21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 Using the definitions of</w:t>
      </w:r>
      <w:r>
        <w:t xml:space="preserve"> </w:t>
      </w:r>
      <m:oMath>
        <m:r>
          <m:rPr>
            <m:sty m:val="p"/>
          </m:rPr>
          <m:t>cosh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sinh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sinh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cosh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 Since</w:t>
      </w:r>
      <w:r>
        <w:t xml:space="preserve"> </w:t>
      </w:r>
      <m:oMath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 Factorize to get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 Using the product rule twice here: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(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 Using the product rule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7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produc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productrule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product rule</dc:title>
  <dc:creator>Sara Delgado Garcia</dc:creator>
  <cp:keywords/>
  <dcterms:created xsi:type="dcterms:W3CDTF">2026-09-07T13:10:34Z</dcterms:created>
  <dcterms:modified xsi:type="dcterms:W3CDTF">2026-09-07T13:10:34Z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