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The chain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chain rule.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The chain rule.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Differentiate the following functions using the chain rule.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sup>
        </m:sSup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sup>
        </m:sSup>
      </m:oMath>
      <w:r>
        <w:t xml:space="preserve"> </w:t>
      </w:r>
      <w:r>
        <w:t xml:space="preserve">changed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sup>
        </m:sSup>
      </m:oMath>
      <w:r>
        <w:t xml:space="preserve"> </w:t>
      </w:r>
      <w:r>
        <w:t xml:space="preserve">changed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rad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x</m:t>
                </m:r>
              </m:den>
            </m:f>
          </m:e>
        </m:rad>
      </m:oMath>
      <w:r>
        <w:t xml:space="preserve">.</w:t>
      </w:r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changed</w:t>
      </w:r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chainrule.qmd" TargetMode="External" /><Relationship Type="http://schemas.openxmlformats.org/officeDocument/2006/relationships/hyperlink" Id="rId9" Target="../studyguides/chain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chainrule.qmd" TargetMode="External" /><Relationship Type="http://schemas.openxmlformats.org/officeDocument/2006/relationships/hyperlink" Id="rId9" Target="../studyguides/chain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The chain rule</dc:title>
  <dc:creator>Sara Delgado Garcia</dc:creator>
  <cp:keywords/>
  <dcterms:created xsi:type="dcterms:W3CDTF">2026-09-07T13:25:35Z</dcterms:created>
  <dcterms:modified xsi:type="dcterms:W3CDTF">2026-09-07T13:25:35Z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